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B3A3" w14:textId="7343EF57" w:rsidR="00BB1086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291FF7" wp14:editId="75CAC50A">
            <wp:extent cx="5120650" cy="113995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 Texas -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1EF">
        <w:rPr>
          <w:rFonts w:ascii="Arial" w:hAnsi="Arial" w:cs="Arial"/>
          <w:b/>
          <w:sz w:val="24"/>
          <w:szCs w:val="24"/>
        </w:rPr>
        <w:br/>
      </w:r>
    </w:p>
    <w:p w14:paraId="5E2EA07C" w14:textId="77777777" w:rsidR="000F1F0C" w:rsidRDefault="000F1F0C" w:rsidP="009841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749F465" w14:textId="600CE67B" w:rsidR="00F65A85" w:rsidRPr="009841EF" w:rsidRDefault="009841EF" w:rsidP="009841EF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9841EF">
        <w:rPr>
          <w:rFonts w:ascii="Arial" w:hAnsi="Arial" w:cs="Arial"/>
          <w:b/>
          <w:sz w:val="18"/>
          <w:szCs w:val="24"/>
        </w:rPr>
        <w:t>PRESS CONTACTS:</w:t>
      </w:r>
    </w:p>
    <w:p w14:paraId="79C3DEE4" w14:textId="77777777" w:rsidR="009841EF" w:rsidRDefault="009841EF" w:rsidP="009841EF">
      <w:pPr>
        <w:spacing w:after="0" w:line="240" w:lineRule="auto"/>
        <w:jc w:val="right"/>
        <w:rPr>
          <w:rFonts w:ascii="Arial" w:hAnsi="Arial" w:cs="Arial"/>
          <w:sz w:val="16"/>
        </w:rPr>
        <w:sectPr w:rsidR="009841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5E32F" w14:textId="3ED48374" w:rsidR="009841EF" w:rsidRPr="009841EF" w:rsidRDefault="009841EF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Sidney Henderson</w:t>
      </w:r>
    </w:p>
    <w:p w14:paraId="7E087284" w14:textId="77777777" w:rsidR="009841EF" w:rsidRPr="009841EF" w:rsidRDefault="00F65A85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</w:rPr>
      </w:pPr>
      <w:r w:rsidRPr="009841EF">
        <w:rPr>
          <w:rFonts w:ascii="Arial" w:hAnsi="Arial" w:cs="Arial"/>
          <w:sz w:val="16"/>
        </w:rPr>
        <w:t>Rachel Bond</w:t>
      </w:r>
      <w:r w:rsidR="009841EF" w:rsidRPr="009841EF">
        <w:rPr>
          <w:rFonts w:ascii="Arial" w:hAnsi="Arial" w:cs="Arial"/>
          <w:sz w:val="16"/>
        </w:rPr>
        <w:br/>
      </w:r>
      <w:r w:rsidRPr="009841EF">
        <w:rPr>
          <w:rFonts w:ascii="Arial" w:hAnsi="Arial" w:cs="Arial"/>
          <w:sz w:val="16"/>
        </w:rPr>
        <w:t xml:space="preserve">Greater Texas </w:t>
      </w:r>
      <w:r w:rsidR="009841EF" w:rsidRPr="009841EF">
        <w:rPr>
          <w:rFonts w:ascii="Arial" w:hAnsi="Arial" w:cs="Arial"/>
          <w:sz w:val="16"/>
        </w:rPr>
        <w:t xml:space="preserve">Credit Union </w:t>
      </w:r>
    </w:p>
    <w:p w14:paraId="3DCF98ED" w14:textId="607B5232" w:rsidR="000F1F0C" w:rsidRPr="0009120E" w:rsidRDefault="00C94047" w:rsidP="009841EF">
      <w:pPr>
        <w:spacing w:after="0" w:line="240" w:lineRule="auto"/>
        <w:ind w:right="-270"/>
        <w:jc w:val="right"/>
        <w:rPr>
          <w:rFonts w:ascii="Arial" w:hAnsi="Arial" w:cs="Arial"/>
          <w:sz w:val="16"/>
          <w:lang w:val="es-ES"/>
        </w:rPr>
      </w:pPr>
      <w:hyperlink r:id="rId7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Marketing@GTFCU.org</w:t>
        </w:r>
      </w:hyperlink>
      <w:r w:rsidR="00F65A85"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="00F65A85" w:rsidRPr="0009120E">
        <w:rPr>
          <w:rFonts w:ascii="Arial" w:hAnsi="Arial" w:cs="Arial"/>
          <w:sz w:val="16"/>
          <w:lang w:val="es-ES"/>
        </w:rPr>
        <w:t>(512) 323-4732</w:t>
      </w:r>
    </w:p>
    <w:p w14:paraId="27291AD5" w14:textId="77777777" w:rsidR="009841EF" w:rsidRPr="0009120E" w:rsidRDefault="00F65A85" w:rsidP="009841EF">
      <w:pPr>
        <w:spacing w:after="0" w:line="240" w:lineRule="auto"/>
        <w:ind w:left="-270"/>
        <w:rPr>
          <w:rFonts w:ascii="Arial" w:hAnsi="Arial" w:cs="Arial"/>
          <w:sz w:val="16"/>
          <w:lang w:val="es-ES"/>
        </w:rPr>
      </w:pPr>
      <w:r w:rsidRPr="0009120E">
        <w:rPr>
          <w:rFonts w:ascii="Arial" w:hAnsi="Arial" w:cs="Arial"/>
          <w:sz w:val="16"/>
          <w:lang w:val="es-ES"/>
        </w:rPr>
        <w:t>Kristine Tanzillo</w:t>
      </w:r>
    </w:p>
    <w:p w14:paraId="602A9ACE" w14:textId="15424902" w:rsidR="000F1F0C" w:rsidRPr="0009120E" w:rsidRDefault="00F65A85" w:rsidP="009841EF">
      <w:pPr>
        <w:spacing w:after="0" w:line="240" w:lineRule="auto"/>
        <w:ind w:left="-270"/>
        <w:rPr>
          <w:rFonts w:ascii="Arial" w:hAnsi="Arial" w:cs="Arial"/>
          <w:b/>
          <w:sz w:val="18"/>
          <w:szCs w:val="24"/>
          <w:lang w:val="es-ES"/>
        </w:rPr>
      </w:pPr>
      <w:r w:rsidRPr="0009120E">
        <w:rPr>
          <w:rFonts w:ascii="Arial" w:hAnsi="Arial" w:cs="Arial"/>
          <w:sz w:val="16"/>
          <w:lang w:val="es-ES"/>
        </w:rPr>
        <w:t xml:space="preserve">Dux </w:t>
      </w:r>
      <w:proofErr w:type="spellStart"/>
      <w:r w:rsidRPr="0009120E">
        <w:rPr>
          <w:rFonts w:ascii="Arial" w:hAnsi="Arial" w:cs="Arial"/>
          <w:sz w:val="16"/>
          <w:lang w:val="es-ES"/>
        </w:rPr>
        <w:t>Public</w:t>
      </w:r>
      <w:proofErr w:type="spellEnd"/>
      <w:r w:rsidRPr="0009120E">
        <w:rPr>
          <w:rFonts w:ascii="Arial" w:hAnsi="Arial" w:cs="Arial"/>
          <w:sz w:val="16"/>
          <w:lang w:val="es-ES"/>
        </w:rPr>
        <w:t xml:space="preserve"> </w:t>
      </w:r>
      <w:proofErr w:type="spellStart"/>
      <w:r w:rsidRPr="0009120E">
        <w:rPr>
          <w:rFonts w:ascii="Arial" w:hAnsi="Arial" w:cs="Arial"/>
          <w:sz w:val="16"/>
          <w:lang w:val="es-ES"/>
        </w:rPr>
        <w:t>Relations</w:t>
      </w:r>
      <w:proofErr w:type="spellEnd"/>
      <w:r w:rsidR="009841EF" w:rsidRPr="0009120E">
        <w:rPr>
          <w:rFonts w:ascii="Arial" w:hAnsi="Arial" w:cs="Arial"/>
          <w:sz w:val="16"/>
          <w:lang w:val="es-ES"/>
        </w:rPr>
        <w:br/>
      </w:r>
      <w:hyperlink r:id="rId8" w:history="1">
        <w:r w:rsidR="009841EF" w:rsidRPr="0009120E">
          <w:rPr>
            <w:rStyle w:val="Hyperlink"/>
            <w:rFonts w:ascii="Arial" w:hAnsi="Arial" w:cs="Arial"/>
            <w:sz w:val="16"/>
            <w:lang w:val="es-ES"/>
          </w:rPr>
          <w:t>Kristine@DUXPR.com</w:t>
        </w:r>
      </w:hyperlink>
      <w:r w:rsidRPr="0009120E">
        <w:rPr>
          <w:rFonts w:ascii="Arial" w:hAnsi="Arial" w:cs="Arial"/>
          <w:sz w:val="16"/>
          <w:lang w:val="es-ES"/>
        </w:rPr>
        <w:t xml:space="preserve"> </w:t>
      </w:r>
      <w:r w:rsidR="009841EF" w:rsidRPr="0009120E">
        <w:rPr>
          <w:rFonts w:ascii="Arial" w:hAnsi="Arial" w:cs="Arial"/>
          <w:sz w:val="16"/>
          <w:lang w:val="es-ES"/>
        </w:rPr>
        <w:br/>
      </w:r>
      <w:r w:rsidRPr="0009120E">
        <w:rPr>
          <w:rFonts w:ascii="Arial" w:hAnsi="Arial" w:cs="Arial"/>
          <w:sz w:val="16"/>
          <w:lang w:val="es-ES"/>
        </w:rPr>
        <w:t>(903) 865-1078</w:t>
      </w:r>
    </w:p>
    <w:p w14:paraId="515947A3" w14:textId="77777777" w:rsidR="009841EF" w:rsidRPr="0009120E" w:rsidRDefault="009841EF" w:rsidP="00F65A8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  <w:sectPr w:rsidR="009841EF" w:rsidRPr="0009120E" w:rsidSect="009841EF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405525C" w14:textId="2703127D" w:rsidR="009407BD" w:rsidRPr="0009120E" w:rsidRDefault="009407BD" w:rsidP="000B212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A42F69F" w14:textId="77777777" w:rsidR="000F1F0C" w:rsidRPr="0009120E" w:rsidRDefault="000F1F0C" w:rsidP="000F1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A01F147" w14:textId="77777777" w:rsidR="00345A55" w:rsidRDefault="00BD73EB" w:rsidP="009D1F7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D73EB">
        <w:rPr>
          <w:rFonts w:ascii="Arial" w:hAnsi="Arial" w:cs="Arial"/>
          <w:b/>
          <w:sz w:val="30"/>
          <w:szCs w:val="30"/>
        </w:rPr>
        <w:t xml:space="preserve">Greater Texas Credit Union </w:t>
      </w:r>
      <w:r w:rsidR="009D1F73">
        <w:rPr>
          <w:rFonts w:ascii="Arial" w:hAnsi="Arial" w:cs="Arial"/>
          <w:b/>
          <w:sz w:val="30"/>
          <w:szCs w:val="30"/>
        </w:rPr>
        <w:t xml:space="preserve">Helps Heartland </w:t>
      </w:r>
    </w:p>
    <w:p w14:paraId="0B7539D9" w14:textId="2E81F0DC" w:rsidR="00BD73EB" w:rsidRPr="00BD73EB" w:rsidRDefault="009D1F73" w:rsidP="009D1F7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Tornado Survivors with $15,000 in Gift Cards</w:t>
      </w:r>
    </w:p>
    <w:p w14:paraId="7FEB9807" w14:textId="77777777" w:rsidR="00BD73EB" w:rsidRDefault="00BD73EB" w:rsidP="00BB10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72714E" w14:textId="0B316E81" w:rsidR="009D1F73" w:rsidRDefault="0084733B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BB1086">
        <w:rPr>
          <w:rFonts w:ascii="Arial" w:hAnsi="Arial" w:cs="Arial"/>
          <w:b/>
          <w:sz w:val="24"/>
          <w:szCs w:val="24"/>
        </w:rPr>
        <w:t xml:space="preserve">AUSTIN, </w:t>
      </w:r>
      <w:r w:rsidR="00BB1086" w:rsidRPr="00BB1086">
        <w:rPr>
          <w:rFonts w:ascii="Arial" w:hAnsi="Arial" w:cs="Arial"/>
          <w:b/>
          <w:sz w:val="24"/>
          <w:szCs w:val="24"/>
        </w:rPr>
        <w:t xml:space="preserve">December </w:t>
      </w:r>
      <w:r w:rsidR="00410493">
        <w:rPr>
          <w:rFonts w:ascii="Arial" w:hAnsi="Arial" w:cs="Arial"/>
          <w:b/>
          <w:sz w:val="24"/>
          <w:szCs w:val="24"/>
        </w:rPr>
        <w:t>20</w:t>
      </w:r>
      <w:r w:rsidRPr="00BB1086">
        <w:rPr>
          <w:rFonts w:ascii="Arial" w:hAnsi="Arial" w:cs="Arial"/>
          <w:b/>
          <w:sz w:val="24"/>
          <w:szCs w:val="24"/>
        </w:rPr>
        <w:t>, 2021 –</w:t>
      </w:r>
      <w:r w:rsidR="00456D14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0F1F0C">
          <w:rPr>
            <w:rStyle w:val="Hyperlink"/>
            <w:rFonts w:ascii="Arial" w:hAnsi="Arial" w:cs="Arial"/>
            <w:bCs/>
            <w:sz w:val="24"/>
            <w:szCs w:val="24"/>
          </w:rPr>
          <w:t>Greater Texas Credit Union</w:t>
        </w:r>
      </w:hyperlink>
      <w:r w:rsidR="00456D14" w:rsidRPr="00456D14">
        <w:rPr>
          <w:rStyle w:val="Hyperlink"/>
          <w:rFonts w:ascii="Arial" w:hAnsi="Arial" w:cs="Arial"/>
          <w:bCs/>
          <w:sz w:val="24"/>
          <w:szCs w:val="24"/>
          <w:u w:val="none"/>
        </w:rPr>
        <w:t xml:space="preserve"> </w:t>
      </w:r>
      <w:r w:rsidR="009D1F73" w:rsidRPr="009D1F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has </w:t>
      </w:r>
      <w:r w:rsidR="00A45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stepped up</w:t>
      </w:r>
      <w:r w:rsidR="009D1F73" w:rsidRPr="009D1F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to help </w:t>
      </w:r>
      <w:r w:rsidR="009D1F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survivors of the 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tornados in five heartland states </w:t>
      </w:r>
      <w:r w:rsidR="009D1F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b</w:t>
      </w:r>
      <w:r w:rsidR="006E6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y</w:t>
      </w:r>
      <w:r w:rsidR="009D1F7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donating $15,000 in Visa gift cards.</w:t>
      </w:r>
    </w:p>
    <w:p w14:paraId="2664AF18" w14:textId="6F423D5D" w:rsidR="009D1F73" w:rsidRDefault="009D1F73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0586F75F" w14:textId="7867A8F7" w:rsidR="006E63B3" w:rsidRDefault="009D1F73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The credit union delivered 250 Visa gift cards in 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denominations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of $50 and $100 to the Austin Delivery Relief Network</w:t>
      </w:r>
      <w:r w:rsidR="006E6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(ADRN)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for distribution to </w:t>
      </w:r>
      <w:r w:rsidR="00A74F3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people 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who</w:t>
      </w:r>
      <w:r w:rsidR="00A74F3C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lost their homes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in the devast</w:t>
      </w:r>
      <w:r w:rsidR="006E6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at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ing </w:t>
      </w:r>
      <w:r w:rsidR="00211D70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line of storms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Dec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ember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11.</w:t>
      </w:r>
      <w:r w:rsidR="003B12A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3832D8CC" w14:textId="77777777" w:rsidR="006E63B3" w:rsidRDefault="006E63B3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22AB6247" w14:textId="42A023A2" w:rsidR="006E63B3" w:rsidRDefault="00345A55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As they recover, those impacted by the storm </w:t>
      </w:r>
      <w:r w:rsidR="006E6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will be able to use the gift cards to purchase food, gas, household supplies</w:t>
      </w:r>
      <w:r w:rsidR="002857FD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</w:t>
      </w:r>
      <w:r w:rsidR="006E63B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and clothes.</w:t>
      </w:r>
    </w:p>
    <w:p w14:paraId="34C5C777" w14:textId="77777777" w:rsidR="006E63B3" w:rsidRDefault="006E63B3" w:rsidP="009841EF">
      <w:pPr>
        <w:spacing w:after="0" w:line="36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7F1BDAEE" w14:textId="0283BC9C" w:rsidR="002857FD" w:rsidRDefault="006E63B3" w:rsidP="009841E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“Our heart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s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and 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our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prayers are with each person </w:t>
      </w:r>
      <w:r w:rsidR="00345A55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affected 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by these tornados,” said </w:t>
      </w:r>
      <w:r w:rsidR="006752BA" w:rsidRPr="00BB1086">
        <w:rPr>
          <w:rFonts w:ascii="Arial" w:hAnsi="Arial" w:cs="Arial"/>
          <w:sz w:val="24"/>
          <w:szCs w:val="24"/>
        </w:rPr>
        <w:t>Howard N. Baker, President and CEO of Greater Texas Credit Union</w:t>
      </w:r>
      <w:r w:rsidR="006752BA">
        <w:rPr>
          <w:rFonts w:ascii="Arial" w:hAnsi="Arial" w:cs="Arial"/>
          <w:sz w:val="24"/>
          <w:szCs w:val="24"/>
        </w:rPr>
        <w:t xml:space="preserve">. </w:t>
      </w:r>
      <w:r w:rsidR="00894161">
        <w:rPr>
          <w:rFonts w:ascii="Arial" w:hAnsi="Arial" w:cs="Arial"/>
          <w:sz w:val="24"/>
          <w:szCs w:val="24"/>
        </w:rPr>
        <w:t>“</w:t>
      </w:r>
      <w:r w:rsidR="00A74F3C">
        <w:rPr>
          <w:rFonts w:ascii="Arial" w:hAnsi="Arial" w:cs="Arial"/>
          <w:sz w:val="24"/>
          <w:szCs w:val="24"/>
        </w:rPr>
        <w:t>Their lives will</w:t>
      </w:r>
      <w:r w:rsidR="002857FD">
        <w:rPr>
          <w:rFonts w:ascii="Arial" w:hAnsi="Arial" w:cs="Arial"/>
          <w:sz w:val="24"/>
          <w:szCs w:val="24"/>
        </w:rPr>
        <w:t xml:space="preserve"> never be the same, but we hope these gift cards will be an encouragement to them and allow them to buy the things they need most during this devastating time.”</w:t>
      </w:r>
    </w:p>
    <w:p w14:paraId="159F9EAA" w14:textId="77777777" w:rsidR="006E63B3" w:rsidRDefault="006E63B3" w:rsidP="009841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1A2F5F" w14:textId="5C5180C2" w:rsidR="000B2121" w:rsidRDefault="00C16E47" w:rsidP="00D730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Vice President and Chief Operations Officer </w:t>
      </w:r>
      <w:r w:rsidR="006E63B3">
        <w:rPr>
          <w:rFonts w:ascii="Arial" w:hAnsi="Arial" w:cs="Arial"/>
          <w:sz w:val="24"/>
          <w:szCs w:val="24"/>
        </w:rPr>
        <w:t xml:space="preserve">Jason Goodman, </w:t>
      </w:r>
      <w:r>
        <w:rPr>
          <w:rFonts w:ascii="Arial" w:hAnsi="Arial" w:cs="Arial"/>
          <w:sz w:val="24"/>
          <w:szCs w:val="24"/>
        </w:rPr>
        <w:t xml:space="preserve">Vice President of Collections </w:t>
      </w:r>
      <w:r w:rsidR="006E63B3">
        <w:rPr>
          <w:rFonts w:ascii="Arial" w:hAnsi="Arial" w:cs="Arial"/>
          <w:sz w:val="24"/>
          <w:szCs w:val="24"/>
        </w:rPr>
        <w:t xml:space="preserve">Sidney </w:t>
      </w:r>
      <w:proofErr w:type="spellStart"/>
      <w:r w:rsidR="006E63B3">
        <w:rPr>
          <w:rFonts w:ascii="Arial" w:hAnsi="Arial" w:cs="Arial"/>
          <w:sz w:val="24"/>
          <w:szCs w:val="24"/>
        </w:rPr>
        <w:t>Burkins</w:t>
      </w:r>
      <w:proofErr w:type="spellEnd"/>
      <w:r w:rsidR="006E63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Assistant Vice President of Card Services Eric Jenson, and Debit Card Manager </w:t>
      </w:r>
      <w:proofErr w:type="spellStart"/>
      <w:r>
        <w:rPr>
          <w:rFonts w:ascii="Arial" w:hAnsi="Arial" w:cs="Arial"/>
          <w:sz w:val="24"/>
          <w:szCs w:val="24"/>
        </w:rPr>
        <w:t>Shadon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63B3">
        <w:rPr>
          <w:rFonts w:ascii="Arial" w:hAnsi="Arial" w:cs="Arial"/>
          <w:sz w:val="24"/>
          <w:szCs w:val="24"/>
        </w:rPr>
        <w:t xml:space="preserve">with Greater Texas delivered the gift cards to the </w:t>
      </w:r>
      <w:r w:rsidR="006E63B3">
        <w:rPr>
          <w:rFonts w:ascii="Arial" w:hAnsi="Arial" w:cs="Arial"/>
          <w:sz w:val="24"/>
          <w:szCs w:val="24"/>
        </w:rPr>
        <w:lastRenderedPageBreak/>
        <w:t xml:space="preserve">Austin Delivery Relief Network on Friday. ADRN will work with a sister relief agency in </w:t>
      </w:r>
      <w:r w:rsidR="00BD7273">
        <w:rPr>
          <w:rFonts w:ascii="Arial" w:hAnsi="Arial" w:cs="Arial"/>
          <w:sz w:val="24"/>
          <w:szCs w:val="24"/>
        </w:rPr>
        <w:t>Kentucky</w:t>
      </w:r>
      <w:r w:rsidR="006E63B3">
        <w:rPr>
          <w:rFonts w:ascii="Arial" w:hAnsi="Arial" w:cs="Arial"/>
          <w:sz w:val="24"/>
          <w:szCs w:val="24"/>
        </w:rPr>
        <w:t xml:space="preserve"> to see that the gift card</w:t>
      </w:r>
      <w:r w:rsidR="002857FD">
        <w:rPr>
          <w:rFonts w:ascii="Arial" w:hAnsi="Arial" w:cs="Arial"/>
          <w:sz w:val="24"/>
          <w:szCs w:val="24"/>
        </w:rPr>
        <w:t>s are appropriately distributed.</w:t>
      </w:r>
    </w:p>
    <w:p w14:paraId="3DC576BB" w14:textId="77777777" w:rsidR="00D730F8" w:rsidRDefault="00D730F8" w:rsidP="00D730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B68BF1F" w14:textId="24DA2D5E" w:rsidR="00D730F8" w:rsidRDefault="00D730F8" w:rsidP="00D730F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10B441E" wp14:editId="3BA47F9B">
            <wp:extent cx="4438650" cy="3165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N &amp; Greater Texas with Large Card-news relea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01" cy="316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892E" w14:textId="77777777" w:rsidR="00D730F8" w:rsidRDefault="00D730F8" w:rsidP="009841EF">
      <w:pPr>
        <w:spacing w:after="0" w:line="360" w:lineRule="auto"/>
        <w:rPr>
          <w:rFonts w:ascii="Arial" w:hAnsi="Arial" w:cs="Arial"/>
          <w:b/>
        </w:rPr>
      </w:pPr>
    </w:p>
    <w:p w14:paraId="765F5E5E" w14:textId="242D23F8" w:rsidR="00D730F8" w:rsidRPr="00D65148" w:rsidRDefault="00D65148" w:rsidP="009841EF">
      <w:pPr>
        <w:spacing w:after="0" w:line="360" w:lineRule="auto"/>
        <w:rPr>
          <w:rFonts w:ascii="Arial" w:hAnsi="Arial" w:cs="Arial"/>
        </w:rPr>
      </w:pPr>
      <w:r w:rsidRPr="00D65148">
        <w:rPr>
          <w:rFonts w:ascii="Arial" w:hAnsi="Arial" w:cs="Arial"/>
        </w:rPr>
        <w:t xml:space="preserve">View more about the relief efforts of the Austin Disaster Relief </w:t>
      </w:r>
      <w:r>
        <w:rPr>
          <w:rFonts w:ascii="Arial" w:hAnsi="Arial" w:cs="Arial"/>
        </w:rPr>
        <w:t>N</w:t>
      </w:r>
      <w:r w:rsidRPr="00D65148">
        <w:rPr>
          <w:rFonts w:ascii="Arial" w:hAnsi="Arial" w:cs="Arial"/>
        </w:rPr>
        <w:t xml:space="preserve">etwork </w:t>
      </w:r>
      <w:hyperlink r:id="rId11" w:history="1">
        <w:r w:rsidRPr="00D65148">
          <w:rPr>
            <w:rStyle w:val="Hyperlink"/>
            <w:rFonts w:ascii="Arial" w:hAnsi="Arial" w:cs="Arial"/>
          </w:rPr>
          <w:t>here</w:t>
        </w:r>
      </w:hyperlink>
      <w:r w:rsidRPr="00D65148">
        <w:rPr>
          <w:rFonts w:ascii="Arial" w:hAnsi="Arial" w:cs="Arial"/>
        </w:rPr>
        <w:t>.</w:t>
      </w:r>
    </w:p>
    <w:p w14:paraId="43B43814" w14:textId="77777777" w:rsidR="00D730F8" w:rsidRDefault="00D730F8" w:rsidP="009841EF">
      <w:pPr>
        <w:spacing w:after="0" w:line="360" w:lineRule="auto"/>
        <w:rPr>
          <w:rFonts w:ascii="Arial" w:hAnsi="Arial" w:cs="Arial"/>
          <w:b/>
        </w:rPr>
      </w:pPr>
    </w:p>
    <w:p w14:paraId="40B59D56" w14:textId="4EF5AD20" w:rsidR="002857FD" w:rsidRDefault="002857FD" w:rsidP="009841EF">
      <w:pPr>
        <w:spacing w:after="0" w:line="360" w:lineRule="auto"/>
        <w:rPr>
          <w:rFonts w:ascii="Arial" w:hAnsi="Arial" w:cs="Arial"/>
        </w:rPr>
      </w:pPr>
      <w:r w:rsidRPr="00D730F8">
        <w:rPr>
          <w:rFonts w:ascii="Arial" w:hAnsi="Arial" w:cs="Arial"/>
          <w:b/>
        </w:rPr>
        <w:t>A</w:t>
      </w:r>
      <w:r w:rsidR="006E63B3" w:rsidRPr="00A453B3">
        <w:rPr>
          <w:rStyle w:val="Strong"/>
          <w:rFonts w:ascii="Arial" w:hAnsi="Arial" w:cs="Arial"/>
        </w:rPr>
        <w:t xml:space="preserve">BOUT ADRN </w:t>
      </w:r>
      <w:r w:rsidR="006E63B3" w:rsidRPr="00A453B3">
        <w:rPr>
          <w:rFonts w:ascii="Arial" w:hAnsi="Arial" w:cs="Arial"/>
        </w:rPr>
        <w:br/>
      </w:r>
      <w:hyperlink r:id="rId12" w:history="1">
        <w:r w:rsidR="006E63B3" w:rsidRPr="002857FD">
          <w:rPr>
            <w:rStyle w:val="Hyperlink"/>
            <w:rFonts w:ascii="Arial" w:hAnsi="Arial" w:cs="Arial"/>
          </w:rPr>
          <w:t>Austi</w:t>
        </w:r>
        <w:r w:rsidRPr="002857FD">
          <w:rPr>
            <w:rStyle w:val="Hyperlink"/>
            <w:rFonts w:ascii="Arial" w:hAnsi="Arial" w:cs="Arial"/>
          </w:rPr>
          <w:t>n Disaster Relief Network</w:t>
        </w:r>
      </w:hyperlink>
      <w:r w:rsidRPr="002857FD">
        <w:rPr>
          <w:rFonts w:ascii="Arial" w:hAnsi="Arial" w:cs="Arial"/>
        </w:rPr>
        <w:t xml:space="preserve"> </w:t>
      </w:r>
      <w:r w:rsidR="006E63B3" w:rsidRPr="002857FD">
        <w:rPr>
          <w:rFonts w:ascii="Arial" w:hAnsi="Arial" w:cs="Arial"/>
        </w:rPr>
        <w:t>is a non-profit 501(c</w:t>
      </w:r>
      <w:proofErr w:type="gramStart"/>
      <w:r w:rsidR="006E63B3" w:rsidRPr="002857FD">
        <w:rPr>
          <w:rFonts w:ascii="Arial" w:hAnsi="Arial" w:cs="Arial"/>
        </w:rPr>
        <w:t>)(</w:t>
      </w:r>
      <w:proofErr w:type="gramEnd"/>
      <w:r w:rsidR="006E63B3" w:rsidRPr="002857FD">
        <w:rPr>
          <w:rFonts w:ascii="Arial" w:hAnsi="Arial" w:cs="Arial"/>
        </w:rPr>
        <w:t xml:space="preserve">3) organization comprised of more than 190 Greater Austin churches and thousands of trained volunteers. ADRN’s network enables church members to organize, prepare and respond quickly in the event of a disaster, large or small. ADRN network churches, volunteers, business partners, local agencies, and community organizations provide in-kind and monetary donations and additional volunteer assistance that enables ADRN to fund the rebuild/repair of survivor homes and provide immediate assistance to those in crisis. </w:t>
      </w:r>
    </w:p>
    <w:p w14:paraId="41FF8402" w14:textId="77777777" w:rsidR="002857FD" w:rsidRDefault="002857FD" w:rsidP="009841E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2254E9F" w14:textId="7D299E94" w:rsidR="00512D3E" w:rsidRPr="000B2121" w:rsidRDefault="00512D3E" w:rsidP="009841EF">
      <w:pPr>
        <w:spacing w:after="0" w:line="360" w:lineRule="auto"/>
        <w:rPr>
          <w:rFonts w:ascii="Arial" w:hAnsi="Arial" w:cs="Arial"/>
          <w:b/>
        </w:rPr>
      </w:pPr>
      <w:r w:rsidRPr="000B2121">
        <w:rPr>
          <w:rFonts w:ascii="Arial" w:hAnsi="Arial" w:cs="Arial"/>
          <w:b/>
        </w:rPr>
        <w:t>About Greater Texas</w:t>
      </w:r>
    </w:p>
    <w:p w14:paraId="4C1080E1" w14:textId="68712F07" w:rsidR="00E2677F" w:rsidRPr="00512D3E" w:rsidRDefault="00C94047" w:rsidP="00E2677F">
      <w:pPr>
        <w:spacing w:after="0" w:line="360" w:lineRule="auto"/>
        <w:rPr>
          <w:rFonts w:ascii="Arial" w:hAnsi="Arial" w:cs="Arial"/>
          <w:bCs/>
        </w:rPr>
      </w:pPr>
      <w:hyperlink r:id="rId13" w:history="1">
        <w:r w:rsidR="00E2677F" w:rsidRPr="000F1F0C">
          <w:rPr>
            <w:rStyle w:val="Hyperlink"/>
            <w:rFonts w:ascii="Arial" w:hAnsi="Arial" w:cs="Arial"/>
            <w:bCs/>
          </w:rPr>
          <w:t>Greater Texas</w:t>
        </w:r>
      </w:hyperlink>
      <w:r w:rsidR="00E2677F">
        <w:rPr>
          <w:rStyle w:val="Hyperlink"/>
          <w:rFonts w:ascii="Arial" w:hAnsi="Arial" w:cs="Arial"/>
          <w:bCs/>
        </w:rPr>
        <w:t xml:space="preserve"> Credit Union</w:t>
      </w:r>
      <w:r w:rsidR="00E2677F" w:rsidRPr="00512D3E">
        <w:rPr>
          <w:rFonts w:ascii="Arial" w:hAnsi="Arial" w:cs="Arial"/>
          <w:bCs/>
        </w:rPr>
        <w:t xml:space="preserve">, founded in 1952, is a financial cooperative that provides an array of personal financial products and services. </w:t>
      </w:r>
      <w:r w:rsidR="00E2677F">
        <w:rPr>
          <w:rFonts w:ascii="Arial" w:hAnsi="Arial" w:cs="Arial"/>
          <w:bCs/>
        </w:rPr>
        <w:t>I</w:t>
      </w:r>
      <w:r w:rsidR="00E2677F" w:rsidRPr="00512D3E">
        <w:rPr>
          <w:rFonts w:ascii="Arial" w:hAnsi="Arial" w:cs="Arial"/>
          <w:bCs/>
        </w:rPr>
        <w:t>t offers a wide variety of consumer</w:t>
      </w:r>
      <w:r w:rsidR="00E2677F">
        <w:rPr>
          <w:rFonts w:ascii="Arial" w:hAnsi="Arial" w:cs="Arial"/>
          <w:bCs/>
        </w:rPr>
        <w:t>-</w:t>
      </w:r>
      <w:r w:rsidR="00E2677F" w:rsidRPr="00512D3E">
        <w:rPr>
          <w:rFonts w:ascii="Arial" w:hAnsi="Arial" w:cs="Arial"/>
          <w:bCs/>
        </w:rPr>
        <w:t>oriented banking services to its 7</w:t>
      </w:r>
      <w:r w:rsidR="00E2677F">
        <w:rPr>
          <w:rFonts w:ascii="Arial" w:hAnsi="Arial" w:cs="Arial"/>
          <w:bCs/>
        </w:rPr>
        <w:t>7</w:t>
      </w:r>
      <w:r w:rsidR="00E2677F" w:rsidRPr="00512D3E">
        <w:rPr>
          <w:rFonts w:ascii="Arial" w:hAnsi="Arial" w:cs="Arial"/>
          <w:bCs/>
        </w:rPr>
        <w:t xml:space="preserve">,000 members across the state of Texas. Greater Texas has locations in </w:t>
      </w:r>
      <w:r w:rsidR="00E2677F" w:rsidRPr="00512D3E">
        <w:rPr>
          <w:rFonts w:ascii="Arial" w:hAnsi="Arial" w:cs="Arial"/>
          <w:bCs/>
        </w:rPr>
        <w:lastRenderedPageBreak/>
        <w:t>Austin, Houston, San Antonio, Bryan</w:t>
      </w:r>
      <w:r w:rsidR="00E2677F">
        <w:rPr>
          <w:rFonts w:ascii="Arial" w:hAnsi="Arial" w:cs="Arial"/>
          <w:bCs/>
        </w:rPr>
        <w:t>-</w:t>
      </w:r>
      <w:r w:rsidR="00E2677F" w:rsidRPr="00512D3E">
        <w:rPr>
          <w:rFonts w:ascii="Arial" w:hAnsi="Arial" w:cs="Arial"/>
          <w:bCs/>
        </w:rPr>
        <w:t>College Station</w:t>
      </w:r>
      <w:r w:rsidR="00E2677F">
        <w:rPr>
          <w:rFonts w:ascii="Arial" w:hAnsi="Arial" w:cs="Arial"/>
          <w:bCs/>
        </w:rPr>
        <w:t>, Edinburg</w:t>
      </w:r>
      <w:r w:rsidR="00211D70">
        <w:rPr>
          <w:rFonts w:ascii="Arial" w:hAnsi="Arial" w:cs="Arial"/>
          <w:bCs/>
        </w:rPr>
        <w:t>,</w:t>
      </w:r>
      <w:r w:rsidR="00E2677F" w:rsidRPr="00512D3E">
        <w:rPr>
          <w:rFonts w:ascii="Arial" w:hAnsi="Arial" w:cs="Arial"/>
          <w:bCs/>
        </w:rPr>
        <w:t xml:space="preserve"> and the DFW market with assets of nearly $1 billion.</w:t>
      </w:r>
    </w:p>
    <w:p w14:paraId="551373D6" w14:textId="664FBB92" w:rsidR="001078F3" w:rsidRDefault="001078F3" w:rsidP="009841E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###</w:t>
      </w:r>
    </w:p>
    <w:p w14:paraId="5C549563" w14:textId="77777777" w:rsidR="00AD76DA" w:rsidRDefault="00AD76DA" w:rsidP="00AD76DA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429688F3" w14:textId="2585B2E7" w:rsidR="00C83FEE" w:rsidRPr="00C94047" w:rsidRDefault="00C83FEE" w:rsidP="00C83FEE">
      <w:pPr>
        <w:rPr>
          <w:rFonts w:ascii="Arial" w:hAnsi="Arial" w:cs="Arial"/>
          <w:sz w:val="20"/>
          <w:szCs w:val="20"/>
        </w:rPr>
      </w:pPr>
      <w:r w:rsidRPr="00C83FEE">
        <w:rPr>
          <w:rFonts w:ascii="Arial" w:hAnsi="Arial" w:cs="Arial"/>
          <w:b/>
          <w:bCs/>
          <w:sz w:val="20"/>
          <w:szCs w:val="20"/>
        </w:rPr>
        <w:t>Photo caption</w:t>
      </w:r>
      <w:bookmarkStart w:id="0" w:name="_GoBack"/>
      <w:r w:rsidRPr="00C94047">
        <w:rPr>
          <w:rFonts w:ascii="Arial" w:hAnsi="Arial" w:cs="Arial"/>
          <w:bCs/>
          <w:sz w:val="20"/>
          <w:szCs w:val="20"/>
        </w:rPr>
        <w:t xml:space="preserve">: </w:t>
      </w:r>
      <w:r w:rsidRPr="00C94047">
        <w:rPr>
          <w:rFonts w:ascii="Arial" w:hAnsi="Arial" w:cs="Arial"/>
          <w:sz w:val="20"/>
          <w:szCs w:val="20"/>
        </w:rPr>
        <w:t xml:space="preserve">Debit Card Manager </w:t>
      </w:r>
      <w:proofErr w:type="spellStart"/>
      <w:r w:rsidRPr="00C94047">
        <w:rPr>
          <w:rFonts w:ascii="Arial" w:hAnsi="Arial" w:cs="Arial"/>
          <w:sz w:val="20"/>
          <w:szCs w:val="20"/>
        </w:rPr>
        <w:t>Shadon</w:t>
      </w:r>
      <w:proofErr w:type="spellEnd"/>
      <w:r w:rsidRPr="00C940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4047">
        <w:rPr>
          <w:rFonts w:ascii="Arial" w:hAnsi="Arial" w:cs="Arial"/>
          <w:sz w:val="20"/>
          <w:szCs w:val="20"/>
        </w:rPr>
        <w:t>Calip</w:t>
      </w:r>
      <w:proofErr w:type="spellEnd"/>
      <w:r w:rsidRPr="00C94047">
        <w:rPr>
          <w:rFonts w:ascii="Arial" w:hAnsi="Arial" w:cs="Arial"/>
          <w:sz w:val="20"/>
          <w:szCs w:val="20"/>
        </w:rPr>
        <w:t xml:space="preserve">, Vice President of Collections Sidney </w:t>
      </w:r>
      <w:proofErr w:type="spellStart"/>
      <w:r w:rsidRPr="00C94047">
        <w:rPr>
          <w:rFonts w:ascii="Arial" w:hAnsi="Arial" w:cs="Arial"/>
          <w:sz w:val="20"/>
          <w:szCs w:val="20"/>
        </w:rPr>
        <w:t>Burkins</w:t>
      </w:r>
      <w:proofErr w:type="spellEnd"/>
      <w:r w:rsidRPr="00C94047">
        <w:rPr>
          <w:rFonts w:ascii="Arial" w:hAnsi="Arial" w:cs="Arial"/>
          <w:sz w:val="20"/>
          <w:szCs w:val="20"/>
        </w:rPr>
        <w:t xml:space="preserve">, Senior Vice President and Chief Operations Officer Jason Goodman, and Assistant Vice President of Card Services Eric Jenson from Greater Texas Credit Union delivered 250 Visa gift cards valued at $15,000 to the Austin Delivery Relief Network. The gift cards will be dispersed to survivors of the Heartland tornados. </w:t>
      </w:r>
    </w:p>
    <w:bookmarkEnd w:id="0"/>
    <w:p w14:paraId="2410BC87" w14:textId="77777777" w:rsidR="00C83FEE" w:rsidRDefault="00C83FEE" w:rsidP="00C83FEE"/>
    <w:p w14:paraId="251E031E" w14:textId="7D27AF73" w:rsidR="00C83FEE" w:rsidRPr="006A07A2" w:rsidRDefault="00C83FEE" w:rsidP="00AD76DA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C83FEE" w:rsidRPr="006A07A2" w:rsidSect="00984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C27E" w16cex:dateUtc="2021-12-20T14:51:00Z"/>
  <w16cex:commentExtensible w16cex:durableId="256AC311" w16cex:dateUtc="2021-12-20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410AB" w16cid:durableId="256AC27E"/>
  <w16cid:commentId w16cid:paraId="03E40305" w16cid:durableId="256AC3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5F7"/>
    <w:multiLevelType w:val="hybridMultilevel"/>
    <w:tmpl w:val="B1C440D6"/>
    <w:lvl w:ilvl="0" w:tplc="DD686C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2A9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2880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E85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8E3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0CCB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CB4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25F2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4092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A895703"/>
    <w:multiLevelType w:val="hybridMultilevel"/>
    <w:tmpl w:val="C2B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A"/>
    <w:rsid w:val="00060C7D"/>
    <w:rsid w:val="000677BF"/>
    <w:rsid w:val="0008408A"/>
    <w:rsid w:val="0009120E"/>
    <w:rsid w:val="000A64C3"/>
    <w:rsid w:val="000B2121"/>
    <w:rsid w:val="000F1F0C"/>
    <w:rsid w:val="001078F3"/>
    <w:rsid w:val="00120939"/>
    <w:rsid w:val="0013223E"/>
    <w:rsid w:val="001C6B0A"/>
    <w:rsid w:val="001C7D3D"/>
    <w:rsid w:val="001E3292"/>
    <w:rsid w:val="001F7079"/>
    <w:rsid w:val="00211D70"/>
    <w:rsid w:val="00226EE5"/>
    <w:rsid w:val="00232E50"/>
    <w:rsid w:val="00246DDC"/>
    <w:rsid w:val="002857FD"/>
    <w:rsid w:val="002B43CD"/>
    <w:rsid w:val="00345A55"/>
    <w:rsid w:val="00352542"/>
    <w:rsid w:val="00366910"/>
    <w:rsid w:val="003B12AE"/>
    <w:rsid w:val="003C4A23"/>
    <w:rsid w:val="00410493"/>
    <w:rsid w:val="00452708"/>
    <w:rsid w:val="00456D14"/>
    <w:rsid w:val="00463534"/>
    <w:rsid w:val="00465061"/>
    <w:rsid w:val="004C6D9B"/>
    <w:rsid w:val="004D0D37"/>
    <w:rsid w:val="004D1719"/>
    <w:rsid w:val="004D398E"/>
    <w:rsid w:val="004F1A72"/>
    <w:rsid w:val="00512D3E"/>
    <w:rsid w:val="005562C0"/>
    <w:rsid w:val="00590CFD"/>
    <w:rsid w:val="005F2A47"/>
    <w:rsid w:val="006752BA"/>
    <w:rsid w:val="006A07A2"/>
    <w:rsid w:val="006A17A2"/>
    <w:rsid w:val="006A5EDF"/>
    <w:rsid w:val="006C244A"/>
    <w:rsid w:val="006E63B3"/>
    <w:rsid w:val="0084733B"/>
    <w:rsid w:val="00861376"/>
    <w:rsid w:val="00894161"/>
    <w:rsid w:val="008C36B2"/>
    <w:rsid w:val="009407BD"/>
    <w:rsid w:val="00947B63"/>
    <w:rsid w:val="00960D6D"/>
    <w:rsid w:val="009803FD"/>
    <w:rsid w:val="009841EF"/>
    <w:rsid w:val="009878DD"/>
    <w:rsid w:val="009A49FB"/>
    <w:rsid w:val="009D1F73"/>
    <w:rsid w:val="009E616D"/>
    <w:rsid w:val="009E795E"/>
    <w:rsid w:val="00A453B3"/>
    <w:rsid w:val="00A74F3C"/>
    <w:rsid w:val="00AA2DE5"/>
    <w:rsid w:val="00AB6D48"/>
    <w:rsid w:val="00AD630E"/>
    <w:rsid w:val="00AD76DA"/>
    <w:rsid w:val="00AE4AD5"/>
    <w:rsid w:val="00AF4F2A"/>
    <w:rsid w:val="00B37E16"/>
    <w:rsid w:val="00BB1086"/>
    <w:rsid w:val="00BB7EA8"/>
    <w:rsid w:val="00BD7273"/>
    <w:rsid w:val="00BD73EB"/>
    <w:rsid w:val="00C16E47"/>
    <w:rsid w:val="00C369E2"/>
    <w:rsid w:val="00C83FEE"/>
    <w:rsid w:val="00C94047"/>
    <w:rsid w:val="00CE234A"/>
    <w:rsid w:val="00D00B52"/>
    <w:rsid w:val="00D27648"/>
    <w:rsid w:val="00D327BC"/>
    <w:rsid w:val="00D51A26"/>
    <w:rsid w:val="00D65148"/>
    <w:rsid w:val="00D730F8"/>
    <w:rsid w:val="00DB46A1"/>
    <w:rsid w:val="00E2677F"/>
    <w:rsid w:val="00E36772"/>
    <w:rsid w:val="00EE3352"/>
    <w:rsid w:val="00F1036D"/>
    <w:rsid w:val="00F126E8"/>
    <w:rsid w:val="00F44EBE"/>
    <w:rsid w:val="00F65A85"/>
    <w:rsid w:val="00F72B17"/>
    <w:rsid w:val="00FB5FDF"/>
    <w:rsid w:val="00FC3D1A"/>
    <w:rsid w:val="00FC4B4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3E422"/>
  <w15:chartTrackingRefBased/>
  <w15:docId w15:val="{3781902F-09E3-42A5-927D-04EA9D9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733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33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33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6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DA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E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hyperlink" Target="http://www.gtfc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ing@GTFCU.org" TargetMode="External"/><Relationship Id="rId12" Type="http://schemas.openxmlformats.org/officeDocument/2006/relationships/hyperlink" Target="http://www.ADRN.org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bsaustin.com/news/local/texas-organizations-helping-with-heartland-tornado-reli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tfc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FDF7-E6C8-4F9C-BEFE-6C22A544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2</cp:revision>
  <cp:lastPrinted>2021-11-19T14:27:00Z</cp:lastPrinted>
  <dcterms:created xsi:type="dcterms:W3CDTF">2021-12-20T15:43:00Z</dcterms:created>
  <dcterms:modified xsi:type="dcterms:W3CDTF">2021-12-20T15:43:00Z</dcterms:modified>
</cp:coreProperties>
</file>