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38171" w14:textId="77777777" w:rsidR="00CC68E3" w:rsidRDefault="00CC68E3" w:rsidP="002F2E3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</w:p>
    <w:bookmarkEnd w:id="0"/>
    <w:p w14:paraId="3339A9CA" w14:textId="77777777" w:rsidR="00097B89" w:rsidRDefault="00097B89" w:rsidP="008746C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F969C07" w14:textId="0E4AE395" w:rsidR="00D95503" w:rsidRDefault="00720764" w:rsidP="00720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Texas Trust Credit Union </w:t>
      </w:r>
      <w:r w:rsidR="00D95503">
        <w:rPr>
          <w:rFonts w:ascii="Times New Roman" w:hAnsi="Times New Roman" w:cs="Times New Roman"/>
          <w:b/>
          <w:sz w:val="28"/>
          <w:szCs w:val="28"/>
        </w:rPr>
        <w:t xml:space="preserve">Appoints </w:t>
      </w:r>
      <w:r w:rsidR="00F87B1F">
        <w:rPr>
          <w:rFonts w:ascii="Times New Roman" w:hAnsi="Times New Roman" w:cs="Times New Roman"/>
          <w:b/>
          <w:sz w:val="28"/>
          <w:szCs w:val="28"/>
        </w:rPr>
        <w:t xml:space="preserve">Dan </w:t>
      </w:r>
      <w:proofErr w:type="spellStart"/>
      <w:r w:rsidR="00F87B1F">
        <w:rPr>
          <w:rFonts w:ascii="Times New Roman" w:hAnsi="Times New Roman" w:cs="Times New Roman"/>
          <w:b/>
          <w:sz w:val="28"/>
          <w:szCs w:val="28"/>
        </w:rPr>
        <w:t>Tabraham</w:t>
      </w:r>
      <w:proofErr w:type="spellEnd"/>
    </w:p>
    <w:p w14:paraId="0F5395EB" w14:textId="1210CC18" w:rsidR="00720764" w:rsidRDefault="00D95503" w:rsidP="007207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Senior Vice President of Mortgage</w:t>
      </w:r>
      <w:r w:rsidR="009541D5">
        <w:rPr>
          <w:rFonts w:ascii="Times New Roman" w:hAnsi="Times New Roman" w:cs="Times New Roman"/>
          <w:b/>
          <w:sz w:val="28"/>
          <w:szCs w:val="28"/>
        </w:rPr>
        <w:t xml:space="preserve"> and Business</w:t>
      </w:r>
      <w:r>
        <w:rPr>
          <w:rFonts w:ascii="Times New Roman" w:hAnsi="Times New Roman" w:cs="Times New Roman"/>
          <w:b/>
          <w:sz w:val="28"/>
          <w:szCs w:val="28"/>
        </w:rPr>
        <w:t xml:space="preserve"> Services</w:t>
      </w:r>
    </w:p>
    <w:p w14:paraId="14AB082E" w14:textId="77777777" w:rsidR="00720764" w:rsidRPr="006A72AB" w:rsidRDefault="00720764" w:rsidP="007207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77F41" w14:textId="4128CA16" w:rsidR="00344472" w:rsidRDefault="00720764" w:rsidP="00720764">
      <w:pPr>
        <w:pStyle w:val="NormalWeb"/>
        <w:spacing w:before="0" w:beforeAutospacing="0" w:after="0" w:afterAutospacing="0"/>
      </w:pPr>
      <w:r>
        <w:rPr>
          <w:b/>
        </w:rPr>
        <w:t>ARLINGTON</w:t>
      </w:r>
      <w:r w:rsidRPr="00E35291">
        <w:rPr>
          <w:b/>
        </w:rPr>
        <w:t xml:space="preserve">, </w:t>
      </w:r>
      <w:r>
        <w:rPr>
          <w:b/>
        </w:rPr>
        <w:t xml:space="preserve">Texas – </w:t>
      </w:r>
      <w:r w:rsidR="00B93CC5">
        <w:rPr>
          <w:b/>
        </w:rPr>
        <w:t>Feb</w:t>
      </w:r>
      <w:r w:rsidR="00394E3B">
        <w:rPr>
          <w:b/>
        </w:rPr>
        <w:t xml:space="preserve">. </w:t>
      </w:r>
      <w:r w:rsidR="0060158F">
        <w:rPr>
          <w:b/>
        </w:rPr>
        <w:t>16</w:t>
      </w:r>
      <w:r w:rsidR="00394E3B">
        <w:rPr>
          <w:b/>
        </w:rPr>
        <w:t>, 2022</w:t>
      </w:r>
      <w:r>
        <w:t xml:space="preserve"> </w:t>
      </w:r>
      <w:r w:rsidRPr="00AD13E4">
        <w:t>–</w:t>
      </w:r>
      <w:r>
        <w:t xml:space="preserve"> </w:t>
      </w:r>
      <w:r w:rsidR="00311911">
        <w:t>Adding to</w:t>
      </w:r>
      <w:r w:rsidR="00D95503">
        <w:t xml:space="preserve"> </w:t>
      </w:r>
      <w:r w:rsidR="00F87B1F">
        <w:t>the</w:t>
      </w:r>
      <w:r w:rsidR="00D95503">
        <w:t xml:space="preserve"> senior leadership team, Dan </w:t>
      </w:r>
      <w:proofErr w:type="spellStart"/>
      <w:r w:rsidR="00D95503">
        <w:t>Tabraham</w:t>
      </w:r>
      <w:proofErr w:type="spellEnd"/>
      <w:r w:rsidR="00D95503">
        <w:t xml:space="preserve"> </w:t>
      </w:r>
      <w:r w:rsidR="00F87B1F">
        <w:t>has joined</w:t>
      </w:r>
      <w:r w:rsidR="00D95503">
        <w:t xml:space="preserve"> </w:t>
      </w:r>
      <w:hyperlink r:id="rId8" w:history="1">
        <w:r w:rsidR="00D95503" w:rsidRPr="00311911">
          <w:rPr>
            <w:rStyle w:val="Hyperlink"/>
          </w:rPr>
          <w:t>Texas Trust Credit Union</w:t>
        </w:r>
      </w:hyperlink>
      <w:r w:rsidR="00D95503">
        <w:t xml:space="preserve"> as Senior Vice President of Mortgage and Business Services.</w:t>
      </w:r>
    </w:p>
    <w:p w14:paraId="25030011" w14:textId="77777777" w:rsidR="00D95503" w:rsidRDefault="00D95503" w:rsidP="00720764">
      <w:pPr>
        <w:pStyle w:val="NormalWeb"/>
        <w:spacing w:before="0" w:beforeAutospacing="0" w:after="0" w:afterAutospacing="0"/>
      </w:pPr>
    </w:p>
    <w:p w14:paraId="59E64427" w14:textId="51210E84" w:rsidR="001D1CA6" w:rsidRDefault="0060158F" w:rsidP="00720764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5475F46" wp14:editId="016BD1F3">
            <wp:simplePos x="0" y="0"/>
            <wp:positionH relativeFrom="column">
              <wp:posOffset>0</wp:posOffset>
            </wp:positionH>
            <wp:positionV relativeFrom="paragraph">
              <wp:posOffset>3246</wp:posOffset>
            </wp:positionV>
            <wp:extent cx="2527935" cy="2527935"/>
            <wp:effectExtent l="0" t="0" r="5715" b="5715"/>
            <wp:wrapTight wrapText="bothSides">
              <wp:wrapPolygon edited="0">
                <wp:start x="0" y="0"/>
                <wp:lineTo x="0" y="21486"/>
                <wp:lineTo x="21486" y="21486"/>
                <wp:lineTo x="2148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an Tabrah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503">
        <w:t xml:space="preserve">The </w:t>
      </w:r>
      <w:r w:rsidR="00B93CC5">
        <w:t>25</w:t>
      </w:r>
      <w:r w:rsidR="00D95503">
        <w:t xml:space="preserve">-year lending veteran </w:t>
      </w:r>
      <w:r w:rsidR="00F87B1F">
        <w:t xml:space="preserve">now leads </w:t>
      </w:r>
      <w:r w:rsidR="00311911">
        <w:t>Texas Trust</w:t>
      </w:r>
      <w:r w:rsidR="00F87B1F">
        <w:t xml:space="preserve">’s </w:t>
      </w:r>
      <w:r w:rsidR="00D95503">
        <w:t xml:space="preserve">efforts </w:t>
      </w:r>
      <w:r w:rsidR="00F87B1F">
        <w:t>to further</w:t>
      </w:r>
      <w:r w:rsidR="00D95503">
        <w:t xml:space="preserve"> expand the credit union’s lending for new home purchases, refinances, and business loans.</w:t>
      </w:r>
      <w:r w:rsidR="001D1CA6">
        <w:t xml:space="preserve"> </w:t>
      </w:r>
      <w:r w:rsidR="007E1E10" w:rsidRPr="005A43F1">
        <w:t>In 2021, Texas Trust experience</w:t>
      </w:r>
      <w:r w:rsidR="00311911" w:rsidRPr="005A43F1">
        <w:t>d</w:t>
      </w:r>
      <w:r w:rsidR="007E1E10" w:rsidRPr="005A43F1">
        <w:t xml:space="preserve"> substantial growth in its portfolio, reaching a</w:t>
      </w:r>
      <w:r w:rsidR="0085532C" w:rsidRPr="005A43F1">
        <w:t xml:space="preserve"> mortgage</w:t>
      </w:r>
      <w:r w:rsidR="007E1E10" w:rsidRPr="005A43F1">
        <w:t xml:space="preserve"> loan volume of </w:t>
      </w:r>
      <w:r w:rsidR="0085532C" w:rsidRPr="005A43F1">
        <w:t>just over $150 million and a business loan volume of</w:t>
      </w:r>
      <w:r w:rsidR="003B4EF6" w:rsidRPr="005A43F1">
        <w:t xml:space="preserve"> nearly $38 million</w:t>
      </w:r>
      <w:r w:rsidR="007E1E10" w:rsidRPr="005A43F1">
        <w:t>.</w:t>
      </w:r>
    </w:p>
    <w:p w14:paraId="2450FCC9" w14:textId="77777777" w:rsidR="001D1CA6" w:rsidRDefault="001D1CA6" w:rsidP="00720764">
      <w:pPr>
        <w:pStyle w:val="NormalWeb"/>
        <w:spacing w:before="0" w:beforeAutospacing="0" w:after="0" w:afterAutospacing="0"/>
      </w:pPr>
    </w:p>
    <w:p w14:paraId="51FE719A" w14:textId="5F9F9AB6" w:rsidR="001D1CA6" w:rsidRDefault="001D1CA6" w:rsidP="00720764">
      <w:pPr>
        <w:pStyle w:val="NormalWeb"/>
        <w:spacing w:before="0" w:beforeAutospacing="0" w:after="0" w:afterAutospacing="0"/>
      </w:pPr>
      <w:r>
        <w:t>The Dallas-Fort Worth housing market is one of the hottest in the U.S., as economic growth and</w:t>
      </w:r>
      <w:r w:rsidR="006E4C63">
        <w:t xml:space="preserve"> newcomers to the area </w:t>
      </w:r>
      <w:r w:rsidR="00F87B1F">
        <w:t>generate</w:t>
      </w:r>
      <w:r w:rsidR="009541D5">
        <w:t xml:space="preserve"> </w:t>
      </w:r>
      <w:r w:rsidR="006E4C63">
        <w:t>more</w:t>
      </w:r>
      <w:r>
        <w:t xml:space="preserve"> buyers. According to Realtor.com, home sales in 2022 are expected to increase by </w:t>
      </w:r>
      <w:r w:rsidR="006E4C63">
        <w:t xml:space="preserve">more than eight percent in </w:t>
      </w:r>
      <w:r w:rsidR="00A56917">
        <w:t>North Texas.</w:t>
      </w:r>
    </w:p>
    <w:p w14:paraId="76A3ED1A" w14:textId="77777777" w:rsidR="006E4C63" w:rsidRDefault="006E4C63" w:rsidP="00720764">
      <w:pPr>
        <w:pStyle w:val="NormalWeb"/>
        <w:spacing w:before="0" w:beforeAutospacing="0" w:after="0" w:afterAutospacing="0"/>
      </w:pPr>
    </w:p>
    <w:p w14:paraId="706E09A3" w14:textId="2866F18F" w:rsidR="006E4C63" w:rsidRDefault="006E4C63" w:rsidP="00720764">
      <w:pPr>
        <w:pStyle w:val="NormalWeb"/>
        <w:spacing w:before="0" w:beforeAutospacing="0" w:after="0" w:afterAutospacing="0"/>
      </w:pPr>
      <w:proofErr w:type="spellStart"/>
      <w:r>
        <w:t>Tabraham</w:t>
      </w:r>
      <w:proofErr w:type="spellEnd"/>
      <w:r>
        <w:t xml:space="preserve"> </w:t>
      </w:r>
      <w:r w:rsidR="007E1E10">
        <w:t xml:space="preserve">previously </w:t>
      </w:r>
      <w:r>
        <w:t xml:space="preserve">held senior level roles </w:t>
      </w:r>
      <w:r w:rsidR="00A56917">
        <w:t xml:space="preserve">in lending </w:t>
      </w:r>
      <w:r>
        <w:t xml:space="preserve">at </w:t>
      </w:r>
      <w:r w:rsidR="007E1E10">
        <w:t>multi-billion</w:t>
      </w:r>
      <w:r w:rsidR="00F87B1F">
        <w:t>-dollar</w:t>
      </w:r>
      <w:r w:rsidR="007E1E10">
        <w:t xml:space="preserve"> financial institutions </w:t>
      </w:r>
      <w:r w:rsidR="00F87B1F">
        <w:t xml:space="preserve">such as </w:t>
      </w:r>
      <w:r>
        <w:t xml:space="preserve">Texas Dow Employees Credit Union, Independent Bank of McKinney, Heartland Financial, and Viewpoint Bank. In these positions he oversaw </w:t>
      </w:r>
      <w:r w:rsidR="00A56917">
        <w:t xml:space="preserve">the implementation of new lending programs, increased loan portfolios, and managed conversions of software platforms to accommodate new features and capabilities </w:t>
      </w:r>
      <w:r w:rsidR="00F87B1F">
        <w:t xml:space="preserve">for </w:t>
      </w:r>
      <w:r w:rsidR="00A56917">
        <w:t>improve</w:t>
      </w:r>
      <w:r w:rsidR="00F87B1F">
        <w:t>d</w:t>
      </w:r>
      <w:r w:rsidR="00A56917">
        <w:t xml:space="preserve"> lending operations.</w:t>
      </w:r>
    </w:p>
    <w:p w14:paraId="6783C128" w14:textId="77777777" w:rsidR="00A56917" w:rsidRDefault="00A56917" w:rsidP="00720764">
      <w:pPr>
        <w:pStyle w:val="NormalWeb"/>
        <w:spacing w:before="0" w:beforeAutospacing="0" w:after="0" w:afterAutospacing="0"/>
      </w:pPr>
    </w:p>
    <w:p w14:paraId="347FCA57" w14:textId="739FD88F" w:rsidR="00A0052B" w:rsidRDefault="00027A2C" w:rsidP="00720764">
      <w:pPr>
        <w:pStyle w:val="NormalWeb"/>
        <w:spacing w:before="0" w:beforeAutospacing="0" w:after="0" w:afterAutospacing="0"/>
      </w:pPr>
      <w:r>
        <w:t xml:space="preserve">“Dan </w:t>
      </w:r>
      <w:proofErr w:type="spellStart"/>
      <w:r w:rsidR="00F87B1F">
        <w:t>Tabraham</w:t>
      </w:r>
      <w:proofErr w:type="spellEnd"/>
      <w:r w:rsidR="00F87B1F">
        <w:t xml:space="preserve"> </w:t>
      </w:r>
      <w:r>
        <w:t xml:space="preserve">has incredible talent at building efficient </w:t>
      </w:r>
      <w:r w:rsidR="00A81858">
        <w:t xml:space="preserve">lending operations </w:t>
      </w:r>
      <w:r>
        <w:t xml:space="preserve">and profitable loan portfolios,” said Jim Minge, CEO of Texas Trust Credit Union. “He </w:t>
      </w:r>
      <w:r w:rsidR="00F87B1F">
        <w:t xml:space="preserve">will help </w:t>
      </w:r>
      <w:r w:rsidR="00A0052B">
        <w:t xml:space="preserve">us develop </w:t>
      </w:r>
      <w:r w:rsidR="00F87B1F">
        <w:t xml:space="preserve">robust </w:t>
      </w:r>
      <w:r w:rsidR="00A0052B">
        <w:t xml:space="preserve">lending products and processes </w:t>
      </w:r>
      <w:r w:rsidR="00F87B1F">
        <w:t>so we can</w:t>
      </w:r>
      <w:r w:rsidR="00A0052B">
        <w:t xml:space="preserve"> continue to grow and expand our services as we target a larger </w:t>
      </w:r>
      <w:r w:rsidR="001E6A6A">
        <w:t xml:space="preserve">home and business loan </w:t>
      </w:r>
      <w:r w:rsidR="00A0052B">
        <w:t>market segment</w:t>
      </w:r>
      <w:r w:rsidR="009541D5">
        <w:t>.</w:t>
      </w:r>
      <w:r w:rsidR="00A0052B">
        <w:t>”</w:t>
      </w:r>
    </w:p>
    <w:p w14:paraId="5BCF1F23" w14:textId="77777777" w:rsidR="00311911" w:rsidRDefault="00311911" w:rsidP="00720764">
      <w:pPr>
        <w:pStyle w:val="NormalWeb"/>
        <w:spacing w:before="0" w:beforeAutospacing="0" w:after="0" w:afterAutospacing="0"/>
      </w:pPr>
    </w:p>
    <w:p w14:paraId="6789F521" w14:textId="13D7AF6B" w:rsidR="00311911" w:rsidRDefault="00311911" w:rsidP="00720764">
      <w:pPr>
        <w:pStyle w:val="NormalWeb"/>
        <w:spacing w:before="0" w:beforeAutospacing="0" w:after="0" w:afterAutospacing="0"/>
      </w:pPr>
      <w:proofErr w:type="spellStart"/>
      <w:r>
        <w:t>Tabraham</w:t>
      </w:r>
      <w:proofErr w:type="spellEnd"/>
      <w:r>
        <w:t xml:space="preserve"> is </w:t>
      </w:r>
      <w:r w:rsidR="001E6A6A">
        <w:t xml:space="preserve">a </w:t>
      </w:r>
      <w:r>
        <w:t xml:space="preserve">1997 </w:t>
      </w:r>
      <w:r w:rsidR="001E6A6A">
        <w:t xml:space="preserve">master’s </w:t>
      </w:r>
      <w:r>
        <w:t xml:space="preserve">graduate of </w:t>
      </w:r>
      <w:r w:rsidR="001E6A6A">
        <w:t>Southern Methodist University</w:t>
      </w:r>
      <w:r w:rsidR="00201DBB">
        <w:t xml:space="preserve">. He </w:t>
      </w:r>
      <w:r w:rsidR="00B93CC5">
        <w:t xml:space="preserve">graduated from </w:t>
      </w:r>
      <w:r w:rsidR="00836374">
        <w:t xml:space="preserve">the university’s </w:t>
      </w:r>
      <w:r w:rsidR="00B93CC5">
        <w:t>Southwestern Graduate School of Banking in 2015</w:t>
      </w:r>
      <w:r w:rsidR="001E6A6A">
        <w:t>.</w:t>
      </w:r>
    </w:p>
    <w:p w14:paraId="36A0D208" w14:textId="77777777" w:rsidR="00666BCE" w:rsidRDefault="00666BCE" w:rsidP="00720764">
      <w:pPr>
        <w:pStyle w:val="NormalWeb"/>
        <w:spacing w:before="0" w:beforeAutospacing="0" w:after="0" w:afterAutospacing="0"/>
      </w:pPr>
    </w:p>
    <w:p w14:paraId="52A64596" w14:textId="3D249C4D" w:rsidR="00666BCE" w:rsidRDefault="00666BCE" w:rsidP="00720764">
      <w:pPr>
        <w:pStyle w:val="NormalWeb"/>
        <w:spacing w:before="0" w:beforeAutospacing="0" w:after="0" w:afterAutospacing="0"/>
      </w:pPr>
      <w:r>
        <w:t xml:space="preserve">A high resolution picture of </w:t>
      </w:r>
      <w:proofErr w:type="spellStart"/>
      <w:r>
        <w:t>Tabraham</w:t>
      </w:r>
      <w:proofErr w:type="spellEnd"/>
      <w:r>
        <w:t xml:space="preserve"> can be downloaded </w:t>
      </w:r>
      <w:hyperlink r:id="rId10" w:history="1">
        <w:r w:rsidRPr="00666BCE">
          <w:rPr>
            <w:rStyle w:val="Hyperlink"/>
          </w:rPr>
          <w:t>here</w:t>
        </w:r>
      </w:hyperlink>
      <w:r>
        <w:t>.</w:t>
      </w:r>
    </w:p>
    <w:p w14:paraId="48B932CF" w14:textId="1D176591" w:rsidR="001A5F4B" w:rsidRDefault="001A5F4B" w:rsidP="00720764">
      <w:pPr>
        <w:pStyle w:val="NormalWeb"/>
        <w:spacing w:before="0" w:beforeAutospacing="0" w:after="0" w:afterAutospacing="0"/>
      </w:pPr>
    </w:p>
    <w:p w14:paraId="0918EBD7" w14:textId="77777777" w:rsidR="00720764" w:rsidRDefault="00720764" w:rsidP="00720764">
      <w:pPr>
        <w:pStyle w:val="NormalWeb"/>
        <w:spacing w:before="0" w:beforeAutospacing="0" w:after="0" w:afterAutospacing="0"/>
        <w:rPr>
          <w:b/>
          <w:sz w:val="22"/>
          <w:szCs w:val="22"/>
        </w:rPr>
      </w:pPr>
      <w:r w:rsidRPr="005962F5">
        <w:rPr>
          <w:b/>
          <w:sz w:val="22"/>
          <w:szCs w:val="22"/>
        </w:rPr>
        <w:t>About Texas Trust Credit Union</w:t>
      </w:r>
    </w:p>
    <w:p w14:paraId="494D8571" w14:textId="34BB3370" w:rsidR="00D070A5" w:rsidRPr="00D26EDE" w:rsidRDefault="00D070A5" w:rsidP="00D070A5">
      <w:pPr>
        <w:pStyle w:val="NormalWeb"/>
        <w:spacing w:before="0" w:beforeAutospacing="0" w:after="0" w:afterAutospacing="0"/>
        <w:rPr>
          <w:rStyle w:val="Hyperlink"/>
          <w:sz w:val="22"/>
          <w:szCs w:val="22"/>
        </w:rPr>
      </w:pPr>
      <w:r w:rsidRPr="00D26EDE">
        <w:rPr>
          <w:sz w:val="22"/>
          <w:szCs w:val="22"/>
        </w:rPr>
        <w:t>Texas Trust Credit Union has been helping build brighter financial futures since its modest beginning in 1936. Today, the full-service credit union serves more than 120,000 members. With assets of more than $1.</w:t>
      </w:r>
      <w:r w:rsidR="0085532C">
        <w:rPr>
          <w:sz w:val="22"/>
          <w:szCs w:val="22"/>
        </w:rPr>
        <w:t>8</w:t>
      </w:r>
      <w:r w:rsidRPr="00D26EDE">
        <w:rPr>
          <w:sz w:val="22"/>
          <w:szCs w:val="22"/>
        </w:rPr>
        <w:t xml:space="preserve"> billion, Texas Trust is the </w:t>
      </w:r>
      <w:r>
        <w:rPr>
          <w:sz w:val="22"/>
          <w:szCs w:val="22"/>
        </w:rPr>
        <w:t>6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credit union in North Texas and the 1</w:t>
      </w:r>
      <w:r w:rsidR="0085532C">
        <w:rPr>
          <w:sz w:val="22"/>
          <w:szCs w:val="22"/>
        </w:rPr>
        <w:t>6</w:t>
      </w:r>
      <w:r w:rsidRPr="00D26EDE">
        <w:rPr>
          <w:sz w:val="22"/>
          <w:szCs w:val="22"/>
          <w:vertAlign w:val="superscript"/>
        </w:rPr>
        <w:t>th</w:t>
      </w:r>
      <w:r w:rsidRPr="00D26EDE">
        <w:rPr>
          <w:sz w:val="22"/>
          <w:szCs w:val="22"/>
        </w:rPr>
        <w:t xml:space="preserve"> largest in Texas. With a focus on the community, Texas Trust is creating a legacy of giving through generous financial donations </w:t>
      </w:r>
      <w:r w:rsidRPr="00D26EDE">
        <w:rPr>
          <w:sz w:val="22"/>
          <w:szCs w:val="22"/>
        </w:rPr>
        <w:lastRenderedPageBreak/>
        <w:t xml:space="preserve">that support local school programs and activities, non-profit organizations, and student scholarships; and by providing volunteer resources through its Community Unity team, which supports scores of charitable events each year. For more information, visit </w:t>
      </w:r>
      <w:hyperlink r:id="rId11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TexasTrustCU.org</w:t>
        </w:r>
      </w:hyperlink>
      <w:r w:rsidRPr="00D26EDE">
        <w:rPr>
          <w:sz w:val="22"/>
          <w:szCs w:val="22"/>
        </w:rPr>
        <w:t xml:space="preserve"> or follow us on Facebook at </w:t>
      </w:r>
      <w:hyperlink r:id="rId12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facebook.com/</w:t>
        </w:r>
        <w:proofErr w:type="spellStart"/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D26EDE">
        <w:rPr>
          <w:sz w:val="22"/>
          <w:szCs w:val="22"/>
        </w:rPr>
        <w:t xml:space="preserve"> or Twitter at </w:t>
      </w:r>
      <w:hyperlink r:id="rId13" w:history="1">
        <w:r w:rsidRPr="00D26EDE">
          <w:rPr>
            <w:rStyle w:val="Hyperlink"/>
            <w:color w:val="0070C0"/>
            <w:sz w:val="22"/>
            <w:szCs w:val="22"/>
            <w:u w:color="0070C0"/>
          </w:rPr>
          <w:t>@</w:t>
        </w:r>
        <w:proofErr w:type="spellStart"/>
        <w:r w:rsidRPr="00D26EDE">
          <w:rPr>
            <w:rStyle w:val="Hyperlink"/>
            <w:color w:val="0070C0"/>
            <w:sz w:val="22"/>
            <w:szCs w:val="22"/>
            <w:u w:color="0070C0"/>
          </w:rPr>
          <w:t>texastrustcu</w:t>
        </w:r>
        <w:proofErr w:type="spellEnd"/>
      </w:hyperlink>
      <w:r w:rsidRPr="00D26EDE">
        <w:rPr>
          <w:rStyle w:val="Hyperlink"/>
          <w:sz w:val="22"/>
          <w:szCs w:val="22"/>
        </w:rPr>
        <w:t>.</w:t>
      </w:r>
    </w:p>
    <w:p w14:paraId="06F84A30" w14:textId="77777777" w:rsidR="00720764" w:rsidRPr="00FB3719" w:rsidRDefault="00720764" w:rsidP="00720764">
      <w:pPr>
        <w:rPr>
          <w:b/>
        </w:rPr>
      </w:pPr>
    </w:p>
    <w:p w14:paraId="723D0ACB" w14:textId="133A9010" w:rsidR="00986879" w:rsidRPr="009541D5" w:rsidRDefault="00720764" w:rsidP="009541D5">
      <w:pPr>
        <w:jc w:val="center"/>
        <w:rPr>
          <w:rFonts w:ascii="Times New Roman" w:hAnsi="Times New Roman" w:cs="Times New Roman"/>
        </w:rPr>
      </w:pPr>
      <w:r w:rsidRPr="005962F5">
        <w:rPr>
          <w:rFonts w:ascii="Times New Roman" w:hAnsi="Times New Roman" w:cs="Times New Roman"/>
        </w:rPr>
        <w:t>###</w:t>
      </w:r>
    </w:p>
    <w:sectPr w:rsidR="00986879" w:rsidRPr="009541D5" w:rsidSect="00CC68E3">
      <w:headerReference w:type="default" r:id="rId14"/>
      <w:pgSz w:w="12240" w:h="15840" w:code="1"/>
      <w:pgMar w:top="1440" w:right="1440" w:bottom="864" w:left="1440" w:header="432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7DA48C" w16cex:dateUtc="2022-01-03T22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4BF3EFD" w16cid:durableId="257DA48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B855E5" w14:textId="77777777" w:rsidR="00914D67" w:rsidRDefault="00914D67">
      <w:r>
        <w:separator/>
      </w:r>
    </w:p>
  </w:endnote>
  <w:endnote w:type="continuationSeparator" w:id="0">
    <w:p w14:paraId="60C788DF" w14:textId="77777777" w:rsidR="00914D67" w:rsidRDefault="00914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6A561" w14:textId="77777777" w:rsidR="00914D67" w:rsidRDefault="00914D67">
      <w:r>
        <w:separator/>
      </w:r>
    </w:p>
  </w:footnote>
  <w:footnote w:type="continuationSeparator" w:id="0">
    <w:p w14:paraId="79376FD6" w14:textId="77777777" w:rsidR="00914D67" w:rsidRDefault="00914D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715DE" w14:textId="77777777" w:rsidR="002F6F9D" w:rsidRDefault="003D6925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15849BE" wp14:editId="4311DB02">
              <wp:simplePos x="0" y="0"/>
              <wp:positionH relativeFrom="column">
                <wp:posOffset>3629025</wp:posOffset>
              </wp:positionH>
              <wp:positionV relativeFrom="paragraph">
                <wp:posOffset>44450</wp:posOffset>
              </wp:positionV>
              <wp:extent cx="2693670" cy="139573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3670" cy="139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D7436E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  <w:b/>
                            </w:rPr>
                            <w:t>Press Contacts:</w:t>
                          </w:r>
                        </w:p>
                        <w:p w14:paraId="5EB450FA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Toni Nichols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, Texas Trust</w:t>
                          </w:r>
                          <w:r>
                            <w:rPr>
                              <w:rFonts w:ascii="Times New Roman" w:hAnsi="Times New Roman" w:cs="Times New Roman"/>
                            </w:rPr>
                            <w:t xml:space="preserve"> Credit Union</w:t>
                          </w:r>
                        </w:p>
                        <w:p w14:paraId="46935F03" w14:textId="77777777" w:rsidR="00070552" w:rsidRPr="0071113E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972-595-</w:t>
                          </w:r>
                          <w:r w:rsidRPr="0071113E">
                            <w:rPr>
                              <w:rFonts w:ascii="Times New Roman" w:hAnsi="Times New Roman" w:cs="Times New Roman"/>
                            </w:rPr>
                            <w:t>1017</w:t>
                          </w:r>
                        </w:p>
                        <w:p w14:paraId="1EB0C7EA" w14:textId="77777777" w:rsidR="00070552" w:rsidRPr="0071113E" w:rsidRDefault="00852003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1" w:history="1">
                            <w:r w:rsidR="00070552" w:rsidRPr="0071113E">
                              <w:rPr>
                                <w:rStyle w:val="Hyperlink"/>
                                <w:rFonts w:ascii="Times New Roman" w:hAnsi="Times New Roman"/>
                              </w:rPr>
                              <w:t>tnichols@texastrustcu.org</w:t>
                            </w:r>
                          </w:hyperlink>
                        </w:p>
                        <w:p w14:paraId="7EF21CF8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294E4271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 w:rsidRPr="00AD13E4">
                            <w:rPr>
                              <w:rFonts w:ascii="Times New Roman" w:hAnsi="Times New Roman" w:cs="Times New Roman"/>
                            </w:rPr>
                            <w:t>Kristine Tanzillo, Dux Public Relations</w:t>
                          </w:r>
                        </w:p>
                        <w:p w14:paraId="3A57B5B4" w14:textId="77777777" w:rsidR="00070552" w:rsidRPr="00AD13E4" w:rsidRDefault="00070552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</w:rPr>
                            <w:t>903-865-</w:t>
                          </w:r>
                          <w:r w:rsidRPr="00AD13E4">
                            <w:rPr>
                              <w:rFonts w:ascii="Times New Roman" w:hAnsi="Times New Roman" w:cs="Times New Roman"/>
                            </w:rPr>
                            <w:t>1078</w:t>
                          </w:r>
                        </w:p>
                        <w:p w14:paraId="51E28D43" w14:textId="77777777" w:rsidR="00070552" w:rsidRPr="00AD13E4" w:rsidRDefault="00852003" w:rsidP="00070552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  <w:hyperlink r:id="rId2" w:history="1">
                            <w:r w:rsidR="00070552" w:rsidRPr="00AD13E4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kristine@duxpr.com</w:t>
                            </w:r>
                          </w:hyperlink>
                        </w:p>
                        <w:p w14:paraId="4AAB5CD2" w14:textId="77777777" w:rsidR="005C4AB9" w:rsidRPr="00AD13E4" w:rsidRDefault="005C4AB9" w:rsidP="005C4AB9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  <w:p w14:paraId="2B14C8C5" w14:textId="77777777" w:rsidR="005C4AB9" w:rsidRDefault="005C4AB9" w:rsidP="005C4AB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15849B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5.75pt;margin-top:3.5pt;width:212.1pt;height:109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" stroked="f">
              <v:textbox>
                <w:txbxContent>
                  <w:p w14:paraId="67D7436E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AD13E4">
                      <w:rPr>
                        <w:rFonts w:ascii="Times New Roman" w:hAnsi="Times New Roman" w:cs="Times New Roman"/>
                        <w:b/>
                      </w:rPr>
                      <w:t>Press Contacts:</w:t>
                    </w:r>
                  </w:p>
                  <w:p w14:paraId="5EB450FA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Toni Nichols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, Texas Trust</w:t>
                    </w:r>
                    <w:r>
                      <w:rPr>
                        <w:rFonts w:ascii="Times New Roman" w:hAnsi="Times New Roman" w:cs="Times New Roman"/>
                      </w:rPr>
                      <w:t xml:space="preserve"> Credit Union</w:t>
                    </w:r>
                  </w:p>
                  <w:p w14:paraId="46935F03" w14:textId="77777777" w:rsidR="00070552" w:rsidRPr="0071113E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972-595-</w:t>
                    </w:r>
                    <w:r w:rsidRPr="0071113E">
                      <w:rPr>
                        <w:rFonts w:ascii="Times New Roman" w:hAnsi="Times New Roman" w:cs="Times New Roman"/>
                      </w:rPr>
                      <w:t>1017</w:t>
                    </w:r>
                  </w:p>
                  <w:p w14:paraId="1EB0C7EA" w14:textId="77777777" w:rsidR="00070552" w:rsidRPr="0071113E" w:rsidRDefault="00914D67" w:rsidP="00070552">
                    <w:pPr>
                      <w:rPr>
                        <w:rFonts w:ascii="Times New Roman" w:hAnsi="Times New Roman" w:cs="Times New Roman"/>
                      </w:rPr>
                    </w:pPr>
                    <w:hyperlink r:id="rId3" w:history="1">
                      <w:r w:rsidR="00070552" w:rsidRPr="0071113E">
                        <w:rPr>
                          <w:rStyle w:val="Hyperlink"/>
                          <w:rFonts w:ascii="Times New Roman" w:hAnsi="Times New Roman"/>
                        </w:rPr>
                        <w:t>tnichols@texastrustcu.org</w:t>
                      </w:r>
                    </w:hyperlink>
                  </w:p>
                  <w:p w14:paraId="7EF21CF8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294E4271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 w:rsidRPr="00AD13E4">
                      <w:rPr>
                        <w:rFonts w:ascii="Times New Roman" w:hAnsi="Times New Roman" w:cs="Times New Roman"/>
                      </w:rPr>
                      <w:t>Kristine Tanzillo, Dux Public Relations</w:t>
                    </w:r>
                  </w:p>
                  <w:p w14:paraId="3A57B5B4" w14:textId="77777777" w:rsidR="00070552" w:rsidRPr="00AD13E4" w:rsidRDefault="00070552" w:rsidP="00070552">
                    <w:pPr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</w:rPr>
                      <w:t>903-865-</w:t>
                    </w:r>
                    <w:r w:rsidRPr="00AD13E4">
                      <w:rPr>
                        <w:rFonts w:ascii="Times New Roman" w:hAnsi="Times New Roman" w:cs="Times New Roman"/>
                      </w:rPr>
                      <w:t>1078</w:t>
                    </w:r>
                  </w:p>
                  <w:p w14:paraId="51E28D43" w14:textId="77777777" w:rsidR="00070552" w:rsidRPr="00AD13E4" w:rsidRDefault="00914D67" w:rsidP="00070552">
                    <w:pPr>
                      <w:rPr>
                        <w:rFonts w:ascii="Times New Roman" w:hAnsi="Times New Roman" w:cs="Times New Roman"/>
                      </w:rPr>
                    </w:pPr>
                    <w:hyperlink r:id="rId4" w:history="1">
                      <w:r w:rsidR="00070552" w:rsidRPr="00AD13E4">
                        <w:rPr>
                          <w:rStyle w:val="Hyperlink"/>
                          <w:rFonts w:ascii="Times New Roman" w:hAnsi="Times New Roman" w:cs="Times New Roman"/>
                        </w:rPr>
                        <w:t>kristine@duxpr.com</w:t>
                      </w:r>
                    </w:hyperlink>
                  </w:p>
                  <w:p w14:paraId="4AAB5CD2" w14:textId="77777777" w:rsidR="005C4AB9" w:rsidRPr="00AD13E4" w:rsidRDefault="005C4AB9" w:rsidP="005C4AB9">
                    <w:pPr>
                      <w:rPr>
                        <w:rFonts w:ascii="Times New Roman" w:hAnsi="Times New Roman" w:cs="Times New Roman"/>
                      </w:rPr>
                    </w:pPr>
                  </w:p>
                  <w:p w14:paraId="2B14C8C5" w14:textId="77777777" w:rsidR="005C4AB9" w:rsidRDefault="005C4AB9" w:rsidP="005C4AB9"/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inline distT="0" distB="0" distL="0" distR="0" wp14:anchorId="1F0BC587" wp14:editId="21A591CE">
          <wp:extent cx="1708150" cy="1000760"/>
          <wp:effectExtent l="0" t="0" r="6350" b="8890"/>
          <wp:docPr id="2" name="Picture 2" descr="2012_logo_blue_cropped_Jan 20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2012_logo_blue_cropped_Jan 201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1000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2EA6C4" w14:textId="77777777" w:rsidR="002F6F9D" w:rsidRDefault="002F6F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85pt;height:8.85pt" o:bullet="t">
        <v:imagedata r:id="rId1" o:title="BD14581_"/>
      </v:shape>
    </w:pict>
  </w:numPicBullet>
  <w:abstractNum w:abstractNumId="0" w15:restartNumberingAfterBreak="0">
    <w:nsid w:val="03017907"/>
    <w:multiLevelType w:val="multilevel"/>
    <w:tmpl w:val="B4E2B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BC6F3E"/>
    <w:multiLevelType w:val="hybridMultilevel"/>
    <w:tmpl w:val="C9F8D776"/>
    <w:lvl w:ilvl="0" w:tplc="F4841256">
      <w:start w:val="1060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D4E43"/>
    <w:multiLevelType w:val="hybridMultilevel"/>
    <w:tmpl w:val="6116DEB8"/>
    <w:lvl w:ilvl="0" w:tplc="DAF6C0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220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482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A7EA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943F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BE9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C15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10DE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F42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3BD38EB"/>
    <w:multiLevelType w:val="multilevel"/>
    <w:tmpl w:val="0422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80908"/>
    <w:multiLevelType w:val="hybridMultilevel"/>
    <w:tmpl w:val="B56EEA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CF57368"/>
    <w:multiLevelType w:val="hybridMultilevel"/>
    <w:tmpl w:val="C9C29E50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35040A5"/>
    <w:multiLevelType w:val="hybridMultilevel"/>
    <w:tmpl w:val="9A66E16A"/>
    <w:lvl w:ilvl="0" w:tplc="3E6412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D4A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4EFB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9CAE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E1A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B4D3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F2D2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28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FC18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8E9111B"/>
    <w:multiLevelType w:val="multilevel"/>
    <w:tmpl w:val="BC7EC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965594"/>
    <w:multiLevelType w:val="hybridMultilevel"/>
    <w:tmpl w:val="CB04D5FA"/>
    <w:lvl w:ilvl="0" w:tplc="60229530">
      <w:start w:val="1"/>
      <w:numFmt w:val="bullet"/>
      <w:lvlText w:val="•"/>
      <w:lvlJc w:val="left"/>
      <w:pPr>
        <w:tabs>
          <w:tab w:val="num" w:pos="450"/>
        </w:tabs>
        <w:ind w:left="450" w:hanging="360"/>
      </w:pPr>
      <w:rPr>
        <w:rFonts w:ascii="Arial" w:hAnsi="Arial" w:hint="default"/>
      </w:rPr>
    </w:lvl>
    <w:lvl w:ilvl="1" w:tplc="F430867E" w:tentative="1">
      <w:start w:val="1"/>
      <w:numFmt w:val="bullet"/>
      <w:lvlText w:val="•"/>
      <w:lvlJc w:val="left"/>
      <w:pPr>
        <w:tabs>
          <w:tab w:val="num" w:pos="1170"/>
        </w:tabs>
        <w:ind w:left="1170" w:hanging="360"/>
      </w:pPr>
      <w:rPr>
        <w:rFonts w:ascii="Arial" w:hAnsi="Arial" w:hint="default"/>
      </w:rPr>
    </w:lvl>
    <w:lvl w:ilvl="2" w:tplc="246CB48E" w:tentative="1">
      <w:start w:val="1"/>
      <w:numFmt w:val="bullet"/>
      <w:lvlText w:val="•"/>
      <w:lvlJc w:val="left"/>
      <w:pPr>
        <w:tabs>
          <w:tab w:val="num" w:pos="1890"/>
        </w:tabs>
        <w:ind w:left="1890" w:hanging="360"/>
      </w:pPr>
      <w:rPr>
        <w:rFonts w:ascii="Arial" w:hAnsi="Arial" w:hint="default"/>
      </w:rPr>
    </w:lvl>
    <w:lvl w:ilvl="3" w:tplc="1DF0D036" w:tentative="1">
      <w:start w:val="1"/>
      <w:numFmt w:val="bullet"/>
      <w:lvlText w:val="•"/>
      <w:lvlJc w:val="left"/>
      <w:pPr>
        <w:tabs>
          <w:tab w:val="num" w:pos="2610"/>
        </w:tabs>
        <w:ind w:left="2610" w:hanging="360"/>
      </w:pPr>
      <w:rPr>
        <w:rFonts w:ascii="Arial" w:hAnsi="Arial" w:hint="default"/>
      </w:rPr>
    </w:lvl>
    <w:lvl w:ilvl="4" w:tplc="4968ADEC" w:tentative="1">
      <w:start w:val="1"/>
      <w:numFmt w:val="bullet"/>
      <w:lvlText w:val="•"/>
      <w:lvlJc w:val="left"/>
      <w:pPr>
        <w:tabs>
          <w:tab w:val="num" w:pos="3330"/>
        </w:tabs>
        <w:ind w:left="3330" w:hanging="360"/>
      </w:pPr>
      <w:rPr>
        <w:rFonts w:ascii="Arial" w:hAnsi="Arial" w:hint="default"/>
      </w:rPr>
    </w:lvl>
    <w:lvl w:ilvl="5" w:tplc="D8442724" w:tentative="1">
      <w:start w:val="1"/>
      <w:numFmt w:val="bullet"/>
      <w:lvlText w:val="•"/>
      <w:lvlJc w:val="left"/>
      <w:pPr>
        <w:tabs>
          <w:tab w:val="num" w:pos="4050"/>
        </w:tabs>
        <w:ind w:left="4050" w:hanging="360"/>
      </w:pPr>
      <w:rPr>
        <w:rFonts w:ascii="Arial" w:hAnsi="Arial" w:hint="default"/>
      </w:rPr>
    </w:lvl>
    <w:lvl w:ilvl="6" w:tplc="F23684F2" w:tentative="1">
      <w:start w:val="1"/>
      <w:numFmt w:val="bullet"/>
      <w:lvlText w:val="•"/>
      <w:lvlJc w:val="left"/>
      <w:pPr>
        <w:tabs>
          <w:tab w:val="num" w:pos="4770"/>
        </w:tabs>
        <w:ind w:left="4770" w:hanging="360"/>
      </w:pPr>
      <w:rPr>
        <w:rFonts w:ascii="Arial" w:hAnsi="Arial" w:hint="default"/>
      </w:rPr>
    </w:lvl>
    <w:lvl w:ilvl="7" w:tplc="A11AEEE2" w:tentative="1">
      <w:start w:val="1"/>
      <w:numFmt w:val="bullet"/>
      <w:lvlText w:val="•"/>
      <w:lvlJc w:val="left"/>
      <w:pPr>
        <w:tabs>
          <w:tab w:val="num" w:pos="5490"/>
        </w:tabs>
        <w:ind w:left="5490" w:hanging="360"/>
      </w:pPr>
      <w:rPr>
        <w:rFonts w:ascii="Arial" w:hAnsi="Arial" w:hint="default"/>
      </w:rPr>
    </w:lvl>
    <w:lvl w:ilvl="8" w:tplc="F49E16F0" w:tentative="1">
      <w:start w:val="1"/>
      <w:numFmt w:val="bullet"/>
      <w:lvlText w:val="•"/>
      <w:lvlJc w:val="left"/>
      <w:pPr>
        <w:tabs>
          <w:tab w:val="num" w:pos="6210"/>
        </w:tabs>
        <w:ind w:left="6210" w:hanging="360"/>
      </w:pPr>
      <w:rPr>
        <w:rFonts w:ascii="Arial" w:hAnsi="Arial" w:hint="default"/>
      </w:rPr>
    </w:lvl>
  </w:abstractNum>
  <w:abstractNum w:abstractNumId="9" w15:restartNumberingAfterBreak="0">
    <w:nsid w:val="6F2D6493"/>
    <w:multiLevelType w:val="hybridMultilevel"/>
    <w:tmpl w:val="CF243708"/>
    <w:lvl w:ilvl="0" w:tplc="244609C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evenAndOddHeaders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DE"/>
    <w:rsid w:val="000013FF"/>
    <w:rsid w:val="0000734A"/>
    <w:rsid w:val="00027A2C"/>
    <w:rsid w:val="00036751"/>
    <w:rsid w:val="0003712C"/>
    <w:rsid w:val="00050C18"/>
    <w:rsid w:val="00054BC9"/>
    <w:rsid w:val="00063395"/>
    <w:rsid w:val="000647E4"/>
    <w:rsid w:val="0006787E"/>
    <w:rsid w:val="00070552"/>
    <w:rsid w:val="000728C4"/>
    <w:rsid w:val="00075883"/>
    <w:rsid w:val="000806BA"/>
    <w:rsid w:val="0008789A"/>
    <w:rsid w:val="00087A1A"/>
    <w:rsid w:val="00093BA6"/>
    <w:rsid w:val="0009798D"/>
    <w:rsid w:val="00097B89"/>
    <w:rsid w:val="000A1DE4"/>
    <w:rsid w:val="000A3068"/>
    <w:rsid w:val="000A6891"/>
    <w:rsid w:val="000C785F"/>
    <w:rsid w:val="000D306A"/>
    <w:rsid w:val="000E070D"/>
    <w:rsid w:val="000E49F5"/>
    <w:rsid w:val="000E6BE9"/>
    <w:rsid w:val="000F5F09"/>
    <w:rsid w:val="001037D9"/>
    <w:rsid w:val="001142A4"/>
    <w:rsid w:val="00115BD9"/>
    <w:rsid w:val="00131B38"/>
    <w:rsid w:val="00134AF0"/>
    <w:rsid w:val="00154D11"/>
    <w:rsid w:val="00161C9C"/>
    <w:rsid w:val="0017122D"/>
    <w:rsid w:val="00173F29"/>
    <w:rsid w:val="0018195D"/>
    <w:rsid w:val="00184535"/>
    <w:rsid w:val="001907FE"/>
    <w:rsid w:val="00195819"/>
    <w:rsid w:val="001A015E"/>
    <w:rsid w:val="001A1B01"/>
    <w:rsid w:val="001A3DB2"/>
    <w:rsid w:val="001A5F4B"/>
    <w:rsid w:val="001A7F52"/>
    <w:rsid w:val="001B0F81"/>
    <w:rsid w:val="001B5F8A"/>
    <w:rsid w:val="001D1CA6"/>
    <w:rsid w:val="001D24E3"/>
    <w:rsid w:val="001D3C9C"/>
    <w:rsid w:val="001E6764"/>
    <w:rsid w:val="001E6A6A"/>
    <w:rsid w:val="001F1D7E"/>
    <w:rsid w:val="00200A70"/>
    <w:rsid w:val="00201DBB"/>
    <w:rsid w:val="002174A4"/>
    <w:rsid w:val="00220679"/>
    <w:rsid w:val="00221A3A"/>
    <w:rsid w:val="00223685"/>
    <w:rsid w:val="002341D2"/>
    <w:rsid w:val="00237D46"/>
    <w:rsid w:val="002574CC"/>
    <w:rsid w:val="002650A3"/>
    <w:rsid w:val="00286316"/>
    <w:rsid w:val="002901B9"/>
    <w:rsid w:val="002C00A6"/>
    <w:rsid w:val="002D6D58"/>
    <w:rsid w:val="002E05C4"/>
    <w:rsid w:val="002E2170"/>
    <w:rsid w:val="002E318D"/>
    <w:rsid w:val="002F2E3C"/>
    <w:rsid w:val="002F3FA7"/>
    <w:rsid w:val="002F66C6"/>
    <w:rsid w:val="002F6F9D"/>
    <w:rsid w:val="00301487"/>
    <w:rsid w:val="00304CB4"/>
    <w:rsid w:val="003050FF"/>
    <w:rsid w:val="00311513"/>
    <w:rsid w:val="00311911"/>
    <w:rsid w:val="0032044A"/>
    <w:rsid w:val="00330DB6"/>
    <w:rsid w:val="003407B1"/>
    <w:rsid w:val="00342EB3"/>
    <w:rsid w:val="003436E1"/>
    <w:rsid w:val="00344472"/>
    <w:rsid w:val="00354BE9"/>
    <w:rsid w:val="00380475"/>
    <w:rsid w:val="003824CE"/>
    <w:rsid w:val="003934BB"/>
    <w:rsid w:val="00394E3B"/>
    <w:rsid w:val="003A659C"/>
    <w:rsid w:val="003A7914"/>
    <w:rsid w:val="003B4EF6"/>
    <w:rsid w:val="003C48E5"/>
    <w:rsid w:val="003D19B1"/>
    <w:rsid w:val="003D27FC"/>
    <w:rsid w:val="003D6925"/>
    <w:rsid w:val="003E56A3"/>
    <w:rsid w:val="003E76C2"/>
    <w:rsid w:val="003F1272"/>
    <w:rsid w:val="003F17D4"/>
    <w:rsid w:val="003F5D14"/>
    <w:rsid w:val="003F742C"/>
    <w:rsid w:val="00403DAE"/>
    <w:rsid w:val="004058F4"/>
    <w:rsid w:val="0041096D"/>
    <w:rsid w:val="00427E52"/>
    <w:rsid w:val="00445C69"/>
    <w:rsid w:val="0045485E"/>
    <w:rsid w:val="00466860"/>
    <w:rsid w:val="00466954"/>
    <w:rsid w:val="00473627"/>
    <w:rsid w:val="0047368B"/>
    <w:rsid w:val="004757B5"/>
    <w:rsid w:val="0048100C"/>
    <w:rsid w:val="00481FDD"/>
    <w:rsid w:val="004851C8"/>
    <w:rsid w:val="004A6980"/>
    <w:rsid w:val="004B00B4"/>
    <w:rsid w:val="004B639C"/>
    <w:rsid w:val="004B6437"/>
    <w:rsid w:val="004D0A17"/>
    <w:rsid w:val="004E1CD2"/>
    <w:rsid w:val="004E2007"/>
    <w:rsid w:val="004F3F11"/>
    <w:rsid w:val="004F7BB2"/>
    <w:rsid w:val="00500D46"/>
    <w:rsid w:val="00502A3D"/>
    <w:rsid w:val="00513373"/>
    <w:rsid w:val="0051367F"/>
    <w:rsid w:val="00514920"/>
    <w:rsid w:val="00514DC1"/>
    <w:rsid w:val="005178DC"/>
    <w:rsid w:val="00521AA6"/>
    <w:rsid w:val="00525342"/>
    <w:rsid w:val="0053581C"/>
    <w:rsid w:val="00541AD2"/>
    <w:rsid w:val="00543C9C"/>
    <w:rsid w:val="0054630C"/>
    <w:rsid w:val="0054664E"/>
    <w:rsid w:val="005521BF"/>
    <w:rsid w:val="00555AEC"/>
    <w:rsid w:val="00556A43"/>
    <w:rsid w:val="00567DBC"/>
    <w:rsid w:val="00591A02"/>
    <w:rsid w:val="005A0624"/>
    <w:rsid w:val="005A43F1"/>
    <w:rsid w:val="005A46A8"/>
    <w:rsid w:val="005A55F4"/>
    <w:rsid w:val="005B49F4"/>
    <w:rsid w:val="005B516B"/>
    <w:rsid w:val="005C387E"/>
    <w:rsid w:val="005C4AB9"/>
    <w:rsid w:val="005C65D1"/>
    <w:rsid w:val="005E0514"/>
    <w:rsid w:val="005E6519"/>
    <w:rsid w:val="005E7C19"/>
    <w:rsid w:val="005F1787"/>
    <w:rsid w:val="005F5804"/>
    <w:rsid w:val="0060158F"/>
    <w:rsid w:val="00616BC0"/>
    <w:rsid w:val="00631E92"/>
    <w:rsid w:val="00635727"/>
    <w:rsid w:val="00641F9F"/>
    <w:rsid w:val="00643208"/>
    <w:rsid w:val="006553B7"/>
    <w:rsid w:val="00665AD5"/>
    <w:rsid w:val="00666BCE"/>
    <w:rsid w:val="00667827"/>
    <w:rsid w:val="006759F9"/>
    <w:rsid w:val="00676C64"/>
    <w:rsid w:val="00680DF0"/>
    <w:rsid w:val="00681DC1"/>
    <w:rsid w:val="006840FD"/>
    <w:rsid w:val="00686265"/>
    <w:rsid w:val="00686659"/>
    <w:rsid w:val="006878BF"/>
    <w:rsid w:val="0069153A"/>
    <w:rsid w:val="0069664A"/>
    <w:rsid w:val="006A033D"/>
    <w:rsid w:val="006A09EC"/>
    <w:rsid w:val="006B5630"/>
    <w:rsid w:val="006D4E24"/>
    <w:rsid w:val="006E4C63"/>
    <w:rsid w:val="006F439E"/>
    <w:rsid w:val="006F65B5"/>
    <w:rsid w:val="00702573"/>
    <w:rsid w:val="007047B9"/>
    <w:rsid w:val="00710C08"/>
    <w:rsid w:val="00720764"/>
    <w:rsid w:val="00720A45"/>
    <w:rsid w:val="0072107A"/>
    <w:rsid w:val="0072479A"/>
    <w:rsid w:val="00735D6C"/>
    <w:rsid w:val="00737110"/>
    <w:rsid w:val="00742E87"/>
    <w:rsid w:val="00743DB4"/>
    <w:rsid w:val="00745425"/>
    <w:rsid w:val="0074793E"/>
    <w:rsid w:val="0077129B"/>
    <w:rsid w:val="00772D67"/>
    <w:rsid w:val="00773722"/>
    <w:rsid w:val="00774EA9"/>
    <w:rsid w:val="00782E0E"/>
    <w:rsid w:val="007903E5"/>
    <w:rsid w:val="00790D09"/>
    <w:rsid w:val="007959B3"/>
    <w:rsid w:val="007A190E"/>
    <w:rsid w:val="007A6546"/>
    <w:rsid w:val="007B2CD9"/>
    <w:rsid w:val="007B4FA8"/>
    <w:rsid w:val="007C483C"/>
    <w:rsid w:val="007C723B"/>
    <w:rsid w:val="007D5ED2"/>
    <w:rsid w:val="007D6AFB"/>
    <w:rsid w:val="007E135F"/>
    <w:rsid w:val="007E1E10"/>
    <w:rsid w:val="007E6662"/>
    <w:rsid w:val="007F0A52"/>
    <w:rsid w:val="007F22F4"/>
    <w:rsid w:val="007F2D29"/>
    <w:rsid w:val="00803BC2"/>
    <w:rsid w:val="0081278A"/>
    <w:rsid w:val="00821EC9"/>
    <w:rsid w:val="0082345F"/>
    <w:rsid w:val="0082424B"/>
    <w:rsid w:val="008258EA"/>
    <w:rsid w:val="00835F8D"/>
    <w:rsid w:val="00836374"/>
    <w:rsid w:val="0084006C"/>
    <w:rsid w:val="00852003"/>
    <w:rsid w:val="0085532C"/>
    <w:rsid w:val="0086418F"/>
    <w:rsid w:val="008728AC"/>
    <w:rsid w:val="008746C6"/>
    <w:rsid w:val="008A0255"/>
    <w:rsid w:val="008A455C"/>
    <w:rsid w:val="008A796F"/>
    <w:rsid w:val="008B63A0"/>
    <w:rsid w:val="008C3290"/>
    <w:rsid w:val="008F122B"/>
    <w:rsid w:val="00907C88"/>
    <w:rsid w:val="00910C4E"/>
    <w:rsid w:val="00912497"/>
    <w:rsid w:val="009136E5"/>
    <w:rsid w:val="00914D67"/>
    <w:rsid w:val="009158C8"/>
    <w:rsid w:val="009369CF"/>
    <w:rsid w:val="00941EB7"/>
    <w:rsid w:val="009541D5"/>
    <w:rsid w:val="00956096"/>
    <w:rsid w:val="00956C30"/>
    <w:rsid w:val="009616A8"/>
    <w:rsid w:val="00963C6C"/>
    <w:rsid w:val="00963D48"/>
    <w:rsid w:val="00964693"/>
    <w:rsid w:val="00971308"/>
    <w:rsid w:val="00984A3A"/>
    <w:rsid w:val="00986879"/>
    <w:rsid w:val="009A6569"/>
    <w:rsid w:val="009A7BF7"/>
    <w:rsid w:val="009B351A"/>
    <w:rsid w:val="009C313F"/>
    <w:rsid w:val="009C3CAB"/>
    <w:rsid w:val="009C41FB"/>
    <w:rsid w:val="009E115E"/>
    <w:rsid w:val="009E2708"/>
    <w:rsid w:val="009E3234"/>
    <w:rsid w:val="009F11FB"/>
    <w:rsid w:val="009F7064"/>
    <w:rsid w:val="00A0052B"/>
    <w:rsid w:val="00A01B36"/>
    <w:rsid w:val="00A043CF"/>
    <w:rsid w:val="00A139BF"/>
    <w:rsid w:val="00A13FB6"/>
    <w:rsid w:val="00A20B8A"/>
    <w:rsid w:val="00A2369A"/>
    <w:rsid w:val="00A265DE"/>
    <w:rsid w:val="00A31D4B"/>
    <w:rsid w:val="00A339E6"/>
    <w:rsid w:val="00A43BCD"/>
    <w:rsid w:val="00A47B97"/>
    <w:rsid w:val="00A518BB"/>
    <w:rsid w:val="00A56917"/>
    <w:rsid w:val="00A63B62"/>
    <w:rsid w:val="00A71331"/>
    <w:rsid w:val="00A81858"/>
    <w:rsid w:val="00A84B91"/>
    <w:rsid w:val="00A87A36"/>
    <w:rsid w:val="00A87CA2"/>
    <w:rsid w:val="00A915B0"/>
    <w:rsid w:val="00A9320A"/>
    <w:rsid w:val="00A97B75"/>
    <w:rsid w:val="00AB3721"/>
    <w:rsid w:val="00AC42C6"/>
    <w:rsid w:val="00AE40F3"/>
    <w:rsid w:val="00AE53B1"/>
    <w:rsid w:val="00AF4EFC"/>
    <w:rsid w:val="00B15F8E"/>
    <w:rsid w:val="00B219BA"/>
    <w:rsid w:val="00B21FFE"/>
    <w:rsid w:val="00B230DE"/>
    <w:rsid w:val="00B24BEA"/>
    <w:rsid w:val="00B26933"/>
    <w:rsid w:val="00B277A5"/>
    <w:rsid w:val="00B27C35"/>
    <w:rsid w:val="00B335D9"/>
    <w:rsid w:val="00B35580"/>
    <w:rsid w:val="00B37812"/>
    <w:rsid w:val="00B42310"/>
    <w:rsid w:val="00B55F69"/>
    <w:rsid w:val="00B61631"/>
    <w:rsid w:val="00B67FA7"/>
    <w:rsid w:val="00B700C9"/>
    <w:rsid w:val="00B84652"/>
    <w:rsid w:val="00B93560"/>
    <w:rsid w:val="00B93CC5"/>
    <w:rsid w:val="00BA0321"/>
    <w:rsid w:val="00BA3573"/>
    <w:rsid w:val="00BA4875"/>
    <w:rsid w:val="00BB29A3"/>
    <w:rsid w:val="00BB29FF"/>
    <w:rsid w:val="00BD0808"/>
    <w:rsid w:val="00BD336E"/>
    <w:rsid w:val="00BD56C5"/>
    <w:rsid w:val="00BD6908"/>
    <w:rsid w:val="00BE32BE"/>
    <w:rsid w:val="00BF198F"/>
    <w:rsid w:val="00C06444"/>
    <w:rsid w:val="00C0696B"/>
    <w:rsid w:val="00C14E43"/>
    <w:rsid w:val="00C16F12"/>
    <w:rsid w:val="00C27863"/>
    <w:rsid w:val="00C33672"/>
    <w:rsid w:val="00C36C68"/>
    <w:rsid w:val="00C426B2"/>
    <w:rsid w:val="00C5380E"/>
    <w:rsid w:val="00C541F7"/>
    <w:rsid w:val="00C611D9"/>
    <w:rsid w:val="00C66DDC"/>
    <w:rsid w:val="00C67A77"/>
    <w:rsid w:val="00C764DB"/>
    <w:rsid w:val="00CB5329"/>
    <w:rsid w:val="00CC0F7C"/>
    <w:rsid w:val="00CC5E18"/>
    <w:rsid w:val="00CC6058"/>
    <w:rsid w:val="00CC6063"/>
    <w:rsid w:val="00CC68E3"/>
    <w:rsid w:val="00CC7F1D"/>
    <w:rsid w:val="00CE6FF4"/>
    <w:rsid w:val="00CF29EC"/>
    <w:rsid w:val="00D05935"/>
    <w:rsid w:val="00D070A5"/>
    <w:rsid w:val="00D12A3B"/>
    <w:rsid w:val="00D17D08"/>
    <w:rsid w:val="00D20330"/>
    <w:rsid w:val="00D25B9F"/>
    <w:rsid w:val="00D27115"/>
    <w:rsid w:val="00D3103B"/>
    <w:rsid w:val="00D31737"/>
    <w:rsid w:val="00D34432"/>
    <w:rsid w:val="00D44D12"/>
    <w:rsid w:val="00D605C3"/>
    <w:rsid w:val="00D60A44"/>
    <w:rsid w:val="00D6296B"/>
    <w:rsid w:val="00D62A1B"/>
    <w:rsid w:val="00D70222"/>
    <w:rsid w:val="00D716F9"/>
    <w:rsid w:val="00D71FB4"/>
    <w:rsid w:val="00D721DD"/>
    <w:rsid w:val="00D90633"/>
    <w:rsid w:val="00D93547"/>
    <w:rsid w:val="00D95503"/>
    <w:rsid w:val="00D97320"/>
    <w:rsid w:val="00DA5717"/>
    <w:rsid w:val="00DC0E44"/>
    <w:rsid w:val="00DC4AE2"/>
    <w:rsid w:val="00DE68EF"/>
    <w:rsid w:val="00DF1D06"/>
    <w:rsid w:val="00E03A48"/>
    <w:rsid w:val="00E0621C"/>
    <w:rsid w:val="00E3161B"/>
    <w:rsid w:val="00E3166C"/>
    <w:rsid w:val="00E42207"/>
    <w:rsid w:val="00E4344F"/>
    <w:rsid w:val="00E519E8"/>
    <w:rsid w:val="00E55D2E"/>
    <w:rsid w:val="00E67AE2"/>
    <w:rsid w:val="00E766FC"/>
    <w:rsid w:val="00E826C1"/>
    <w:rsid w:val="00E833C8"/>
    <w:rsid w:val="00E95105"/>
    <w:rsid w:val="00EA1B99"/>
    <w:rsid w:val="00EC195F"/>
    <w:rsid w:val="00EC3602"/>
    <w:rsid w:val="00EE15C4"/>
    <w:rsid w:val="00EE522A"/>
    <w:rsid w:val="00EE646F"/>
    <w:rsid w:val="00F01C25"/>
    <w:rsid w:val="00F02703"/>
    <w:rsid w:val="00F12911"/>
    <w:rsid w:val="00F20B53"/>
    <w:rsid w:val="00F21329"/>
    <w:rsid w:val="00F2543C"/>
    <w:rsid w:val="00F25530"/>
    <w:rsid w:val="00F30D93"/>
    <w:rsid w:val="00F3208D"/>
    <w:rsid w:val="00F52093"/>
    <w:rsid w:val="00F52E2E"/>
    <w:rsid w:val="00F5365C"/>
    <w:rsid w:val="00F66870"/>
    <w:rsid w:val="00F72EF0"/>
    <w:rsid w:val="00F74561"/>
    <w:rsid w:val="00F80BE3"/>
    <w:rsid w:val="00F82F74"/>
    <w:rsid w:val="00F87B1F"/>
    <w:rsid w:val="00F87B4E"/>
    <w:rsid w:val="00FA0241"/>
    <w:rsid w:val="00FA07A3"/>
    <w:rsid w:val="00FA2AE9"/>
    <w:rsid w:val="00FA6AD4"/>
    <w:rsid w:val="00FA75F2"/>
    <w:rsid w:val="00FC17CA"/>
    <w:rsid w:val="00FD0B2F"/>
    <w:rsid w:val="00FD3A55"/>
    <w:rsid w:val="00FD5326"/>
    <w:rsid w:val="00FE359B"/>
    <w:rsid w:val="00FE4124"/>
    <w:rsid w:val="00FE59A1"/>
    <w:rsid w:val="00FE7952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2"/>
    </o:shapelayout>
  </w:shapeDefaults>
  <w:decimalSymbol w:val="."/>
  <w:listSeparator w:val=","/>
  <w14:docId w14:val="3E9A4509"/>
  <w15:docId w15:val="{0B17A865-84D5-4541-9795-AA7C4A78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qFormat/>
    <w:pPr>
      <w:outlineLvl w:val="2"/>
    </w:pPr>
    <w:rPr>
      <w:rFonts w:ascii="Georgia" w:eastAsia="Times New Roman" w:hAnsi="Georgia" w:cs="Times New Roman"/>
      <w:b/>
      <w:bCs/>
      <w:sz w:val="27"/>
      <w:szCs w:val="27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rPr>
      <w:rFonts w:ascii="Georgia" w:eastAsia="Times New Roman" w:hAnsi="Georgia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styleId="Header">
    <w:name w:val="head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HeaderChar">
    <w:name w:val="Header Char"/>
    <w:rPr>
      <w:rFonts w:ascii="Calibri" w:hAnsi="Calibri" w:cs="Calibri"/>
    </w:rPr>
  </w:style>
  <w:style w:type="paragraph" w:styleId="Footer">
    <w:name w:val="footer"/>
    <w:basedOn w:val="Normal"/>
    <w:unhideWhenUsed/>
    <w:pPr>
      <w:tabs>
        <w:tab w:val="center" w:pos="4680"/>
        <w:tab w:val="right" w:pos="9360"/>
      </w:tabs>
    </w:pPr>
    <w:rPr>
      <w:rFonts w:cs="Times New Roman"/>
      <w:sz w:val="20"/>
      <w:szCs w:val="20"/>
      <w:lang w:val="x-none" w:eastAsia="x-none"/>
    </w:rPr>
  </w:style>
  <w:style w:type="character" w:customStyle="1" w:styleId="FooterChar">
    <w:name w:val="Footer Char"/>
    <w:rPr>
      <w:rFonts w:ascii="Calibri" w:hAnsi="Calibri" w:cs="Calibri"/>
    </w:rPr>
  </w:style>
  <w:style w:type="paragraph" w:styleId="BalloonText">
    <w:name w:val="Balloon Text"/>
    <w:basedOn w:val="Normal"/>
    <w:semiHidden/>
    <w:unhideWhenUsed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unhideWhenUsed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semiHidden/>
    <w:rPr>
      <w:rFonts w:cs="Calibri"/>
    </w:rPr>
  </w:style>
  <w:style w:type="paragraph" w:styleId="CommentSubject">
    <w:name w:val="annotation subject"/>
    <w:basedOn w:val="CommentText"/>
    <w:next w:val="CommentText"/>
    <w:semiHidden/>
    <w:unhideWhenUsed/>
    <w:rPr>
      <w:b/>
      <w:bCs/>
    </w:rPr>
  </w:style>
  <w:style w:type="character" w:customStyle="1" w:styleId="CommentSubjectChar">
    <w:name w:val="Comment Subject Char"/>
    <w:semiHidden/>
    <w:rPr>
      <w:rFonts w:cs="Calibri"/>
      <w:b/>
      <w:bCs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n-location">
    <w:name w:val="xn-location"/>
    <w:basedOn w:val="DefaultParagraphFont"/>
  </w:style>
  <w:style w:type="character" w:customStyle="1" w:styleId="xn-chron">
    <w:name w:val="xn-chron"/>
    <w:basedOn w:val="DefaultParagraphFont"/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semiHidden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574CC"/>
    <w:pPr>
      <w:ind w:left="720"/>
    </w:pPr>
    <w:rPr>
      <w:rFonts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52E2E"/>
    <w:rPr>
      <w:color w:val="954F72" w:themeColor="followedHyperlink"/>
      <w:u w:val="single"/>
    </w:rPr>
  </w:style>
  <w:style w:type="paragraph" w:customStyle="1" w:styleId="gmail-m6986658854581821291msolistparagraph">
    <w:name w:val="gmail-m_6986658854581821291msolistparagraph"/>
    <w:basedOn w:val="Normal"/>
    <w:rsid w:val="00D31737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F87B1F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TrustCU.org" TargetMode="External"/><Relationship Id="rId13" Type="http://schemas.openxmlformats.org/officeDocument/2006/relationships/hyperlink" Target="http://www.twitter.com/texastrustcu" TargetMode="Externa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texastrustc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xasTrustCU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exastrustcu.org/news/texas-trust-credit-union-appoints-dan-tabraham-senior-vice-president-of-mortgage-and-business-services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nichols@texastrustcu.org" TargetMode="External"/><Relationship Id="rId2" Type="http://schemas.openxmlformats.org/officeDocument/2006/relationships/hyperlink" Target="mailto:kristine@duxpr.com" TargetMode="External"/><Relationship Id="rId1" Type="http://schemas.openxmlformats.org/officeDocument/2006/relationships/hyperlink" Target="mailto:tnichols@texastrustcu.org" TargetMode="External"/><Relationship Id="rId5" Type="http://schemas.openxmlformats.org/officeDocument/2006/relationships/image" Target="media/image3.jpeg"/><Relationship Id="rId4" Type="http://schemas.openxmlformats.org/officeDocument/2006/relationships/hyperlink" Target="mailto:kristine@duxpr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F976C-2B37-42B2-8C97-189EAFDA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Texas Trust Pumps Up Online Banking Tools</vt:lpstr>
    </vt:vector>
  </TitlesOfParts>
  <Company>Hewlett-Packard</Company>
  <LinksUpToDate>false</LinksUpToDate>
  <CharactersWithSpaces>3034</CharactersWithSpaces>
  <SharedDoc>false</SharedDoc>
  <HLinks>
    <vt:vector size="42" baseType="variant">
      <vt:variant>
        <vt:i4>2293801</vt:i4>
      </vt:variant>
      <vt:variant>
        <vt:i4>12</vt:i4>
      </vt:variant>
      <vt:variant>
        <vt:i4>0</vt:i4>
      </vt:variant>
      <vt:variant>
        <vt:i4>5</vt:i4>
      </vt:variant>
      <vt:variant>
        <vt:lpwstr>http://www.twitter.com/texastrustcu</vt:lpwstr>
      </vt:variant>
      <vt:variant>
        <vt:lpwstr/>
      </vt:variant>
      <vt:variant>
        <vt:i4>4784195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http://www.facebook.com/texastrustcu</vt:lpwstr>
      </vt:variant>
      <vt:variant>
        <vt:lpwstr/>
      </vt:variant>
      <vt:variant>
        <vt:i4>4522076</vt:i4>
      </vt:variant>
      <vt:variant>
        <vt:i4>6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4980749</vt:i4>
      </vt:variant>
      <vt:variant>
        <vt:i4>3</vt:i4>
      </vt:variant>
      <vt:variant>
        <vt:i4>0</vt:i4>
      </vt:variant>
      <vt:variant>
        <vt:i4>5</vt:i4>
      </vt:variant>
      <vt:variant>
        <vt:lpwstr>https://www.texastrustcu.org/news/texas-trust-credit-union-achieves-1-billion-assets/</vt:lpwstr>
      </vt:variant>
      <vt:variant>
        <vt:lpwstr/>
      </vt:variant>
      <vt:variant>
        <vt:i4>4522076</vt:i4>
      </vt:variant>
      <vt:variant>
        <vt:i4>0</vt:i4>
      </vt:variant>
      <vt:variant>
        <vt:i4>0</vt:i4>
      </vt:variant>
      <vt:variant>
        <vt:i4>5</vt:i4>
      </vt:variant>
      <vt:variant>
        <vt:lpwstr>http://www.texastrustcu.org/</vt:lpwstr>
      </vt:variant>
      <vt:variant>
        <vt:lpwstr/>
      </vt:variant>
      <vt:variant>
        <vt:i4>8257610</vt:i4>
      </vt:variant>
      <vt:variant>
        <vt:i4>3</vt:i4>
      </vt:variant>
      <vt:variant>
        <vt:i4>0</vt:i4>
      </vt:variant>
      <vt:variant>
        <vt:i4>5</vt:i4>
      </vt:variant>
      <vt:variant>
        <vt:lpwstr>mailto:kristine@duxpr.com</vt:lpwstr>
      </vt:variant>
      <vt:variant>
        <vt:lpwstr/>
      </vt:variant>
      <vt:variant>
        <vt:i4>3801098</vt:i4>
      </vt:variant>
      <vt:variant>
        <vt:i4>0</vt:i4>
      </vt:variant>
      <vt:variant>
        <vt:i4>0</vt:i4>
      </vt:variant>
      <vt:variant>
        <vt:i4>5</vt:i4>
      </vt:variant>
      <vt:variant>
        <vt:lpwstr>mailto:adanford@texastrustcu.org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Trust Pumps Up Online Banking Tools</dc:title>
  <dc:subject/>
  <dc:creator>Dux Public Relations</dc:creator>
  <cp:keywords/>
  <dc:description/>
  <cp:lastModifiedBy>Kristine</cp:lastModifiedBy>
  <cp:revision>2</cp:revision>
  <cp:lastPrinted>2012-03-04T21:57:00Z</cp:lastPrinted>
  <dcterms:created xsi:type="dcterms:W3CDTF">2022-02-16T16:11:00Z</dcterms:created>
  <dcterms:modified xsi:type="dcterms:W3CDTF">2022-02-16T16:11:00Z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