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E33C4A" w14:textId="77777777" w:rsidR="00D4716D" w:rsidRDefault="004D24ED">
      <w:pPr>
        <w:rPr>
          <w:rFonts w:ascii="Calibri" w:eastAsia="Calibri" w:hAnsi="Calibri" w:cs="Calibri"/>
          <w:color w:val="000000"/>
        </w:rPr>
      </w:pPr>
      <w:r>
        <w:rPr>
          <w:noProof/>
        </w:rPr>
        <mc:AlternateContent>
          <mc:Choice Requires="wps">
            <w:drawing>
              <wp:anchor distT="0" distB="0" distL="114300" distR="114300" simplePos="0" relativeHeight="251659264" behindDoc="0" locked="0" layoutInCell="1" allowOverlap="1" wp14:anchorId="04AD6D15" wp14:editId="0C3E67FE">
                <wp:simplePos x="0" y="0"/>
                <wp:positionH relativeFrom="column">
                  <wp:posOffset>1</wp:posOffset>
                </wp:positionH>
                <wp:positionV relativeFrom="paragraph">
                  <wp:posOffset>-114299</wp:posOffset>
                </wp:positionV>
                <wp:extent cx="2367915" cy="1788414"/>
                <wp:effectExtent l="0" t="0" r="0" b="0"/>
                <wp:wrapNone/>
                <wp:docPr id="1729730356" name="Text Box 1729730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788414"/>
                        </a:xfrm>
                        <a:prstGeom prst="rect">
                          <a:avLst/>
                        </a:prstGeom>
                        <a:solidFill>
                          <a:srgbClr val="FFFFFF"/>
                        </a:solidFill>
                        <a:ln w="9525">
                          <a:solidFill>
                            <a:srgbClr val="FFFFFF"/>
                          </a:solidFill>
                          <a:miter lim="800000"/>
                          <a:headEnd/>
                          <a:tailEnd/>
                        </a:ln>
                      </wps:spPr>
                      <wps:txbx>
                        <w:txbxContent>
                          <w:p w14:paraId="512838F0" w14:textId="77777777" w:rsidR="00062E7C" w:rsidRDefault="004D24ED" w:rsidP="00062E7C">
                            <w:r>
                              <w:rPr>
                                <w:noProof/>
                              </w:rPr>
                              <w:drawing>
                                <wp:inline distT="0" distB="0" distL="0" distR="0" wp14:anchorId="1946C0EE" wp14:editId="4A6423A2">
                                  <wp:extent cx="1765300" cy="1009855"/>
                                  <wp:effectExtent l="0" t="0" r="0" b="6350"/>
                                  <wp:docPr id="1729730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30355" name="Picture 3"/>
                                          <pic:cNvPicPr>
                                            <a:picLocks noChangeAspect="1" noChangeArrowheads="1"/>
                                          </pic:cNvPicPr>
                                        </pic:nvPicPr>
                                        <pic:blipFill>
                                          <a:blip r:embed="rId5"/>
                                          <a:stretch>
                                            <a:fillRect/>
                                          </a:stretch>
                                        </pic:blipFill>
                                        <pic:spPr bwMode="auto">
                                          <a:xfrm>
                                            <a:off x="0" y="0"/>
                                            <a:ext cx="1773037" cy="1014281"/>
                                          </a:xfrm>
                                          <a:prstGeom prst="rect">
                                            <a:avLst/>
                                          </a:prstGeom>
                                          <a:noFill/>
                                          <a:ln>
                                            <a:noFill/>
                                          </a:ln>
                                        </pic:spPr>
                                      </pic:pic>
                                    </a:graphicData>
                                  </a:graphic>
                                </wp:inline>
                              </w:drawing>
                            </w:r>
                          </w:p>
                        </w:txbxContent>
                      </wps:txbx>
                      <wps:bodyPr rot="0" vert="horz" wrap="none" anchor="t" anchorCtr="0" upright="1">
                        <a:spAutoFit/>
                      </wps:bodyPr>
                    </wps:wsp>
                  </a:graphicData>
                </a:graphic>
              </wp:anchor>
            </w:drawing>
          </mc:Choice>
          <mc:Fallback>
            <w:pict>
              <v:shapetype w14:anchorId="04AD6D15" id="_x0000_t202" coordsize="21600,21600" o:spt="202" path="m,l,21600r21600,l21600,xe">
                <v:stroke joinstyle="miter"/>
                <v:path gradientshapeok="t" o:connecttype="rect"/>
              </v:shapetype>
              <v:shape id="Text Box 1729730356" o:spid="_x0000_s1026" type="#_x0000_t202" style="position:absolute;margin-left:0;margin-top:-9pt;width:186.45pt;height:140.8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" strokecolor="white">
                <v:textbox style="mso-fit-shape-to-text:t">
                  <w:txbxContent>
                    <w:p w14:paraId="512838F0" w14:textId="77777777" w:rsidR="00062E7C" w:rsidRDefault="004D24ED" w:rsidP="00062E7C">
                      <w:r>
                        <w:rPr>
                          <w:noProof/>
                        </w:rPr>
                        <w:drawing>
                          <wp:inline distT="0" distB="0" distL="0" distR="0" wp14:anchorId="1946C0EE" wp14:editId="4A6423A2">
                            <wp:extent cx="1765300" cy="1009855"/>
                            <wp:effectExtent l="0" t="0" r="0" b="6350"/>
                            <wp:docPr id="1729730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30355" name="Picture 3"/>
                                    <pic:cNvPicPr>
                                      <a:picLocks noChangeAspect="1" noChangeArrowheads="1"/>
                                    </pic:cNvPicPr>
                                  </pic:nvPicPr>
                                  <pic:blipFill>
                                    <a:blip r:embed="rId6"/>
                                    <a:stretch>
                                      <a:fillRect/>
                                    </a:stretch>
                                  </pic:blipFill>
                                  <pic:spPr bwMode="auto">
                                    <a:xfrm>
                                      <a:off x="0" y="0"/>
                                      <a:ext cx="1773037" cy="1014281"/>
                                    </a:xfrm>
                                    <a:prstGeom prst="rect">
                                      <a:avLst/>
                                    </a:prstGeom>
                                    <a:noFill/>
                                    <a:ln>
                                      <a:noFill/>
                                    </a:ln>
                                  </pic:spPr>
                                </pic:pic>
                              </a:graphicData>
                            </a:graphic>
                          </wp:inline>
                        </w:drawing>
                      </w:r>
                    </w:p>
                  </w:txbxContent>
                </v:textbox>
              </v:shape>
            </w:pict>
          </mc:Fallback>
        </mc:AlternateContent>
      </w:r>
    </w:p>
    <w:p w14:paraId="4E8CBCA5" w14:textId="77777777" w:rsidR="00D4716D" w:rsidRDefault="004D24ED">
      <w:pPr>
        <w:ind w:left="2880" w:firstLine="720"/>
        <w:jc w:val="right"/>
        <w:rPr>
          <w:rFonts w:ascii="Calibri" w:eastAsia="Calibri" w:hAnsi="Calibri" w:cs="Calibri"/>
          <w:color w:val="000000"/>
          <w:sz w:val="22"/>
          <w:szCs w:val="22"/>
        </w:rPr>
      </w:pPr>
      <w:r>
        <w:rPr>
          <w:rFonts w:ascii="Calibri" w:eastAsia="Calibri" w:hAnsi="Calibri" w:cs="Calibri"/>
          <w:b/>
          <w:color w:val="000000"/>
          <w:sz w:val="22"/>
          <w:szCs w:val="22"/>
          <w:u w:val="single"/>
        </w:rPr>
        <w:t>Media Contact:</w:t>
      </w:r>
      <w:r>
        <w:rPr>
          <w:rFonts w:ascii="Calibri" w:eastAsia="Calibri" w:hAnsi="Calibri" w:cs="Calibri"/>
          <w:color w:val="000000"/>
          <w:sz w:val="22"/>
          <w:szCs w:val="22"/>
        </w:rPr>
        <w:t xml:space="preserve"> </w:t>
      </w:r>
    </w:p>
    <w:p w14:paraId="082DF703" w14:textId="77777777" w:rsidR="00D4716D" w:rsidRDefault="004D24ED">
      <w:pPr>
        <w:ind w:left="2880" w:firstLine="720"/>
        <w:jc w:val="right"/>
        <w:rPr>
          <w:rFonts w:ascii="Calibri" w:eastAsia="Calibri" w:hAnsi="Calibri" w:cs="Calibri"/>
          <w:color w:val="000000"/>
          <w:sz w:val="22"/>
          <w:szCs w:val="22"/>
        </w:rPr>
      </w:pPr>
      <w:r>
        <w:rPr>
          <w:rFonts w:ascii="Calibri" w:eastAsia="Calibri" w:hAnsi="Calibri" w:cs="Calibri"/>
          <w:color w:val="000000"/>
          <w:sz w:val="22"/>
          <w:szCs w:val="22"/>
        </w:rPr>
        <w:t>Merideth Miller, M2 The Agency</w:t>
      </w:r>
    </w:p>
    <w:p w14:paraId="6669E53C" w14:textId="77777777" w:rsidR="00D4716D" w:rsidRDefault="004D24ED">
      <w:pPr>
        <w:ind w:left="5040" w:firstLine="720"/>
        <w:jc w:val="right"/>
        <w:rPr>
          <w:rFonts w:ascii="Calibri" w:eastAsia="Calibri" w:hAnsi="Calibri" w:cs="Calibri"/>
          <w:color w:val="000000"/>
          <w:sz w:val="22"/>
          <w:szCs w:val="22"/>
        </w:rPr>
      </w:pPr>
      <w:r>
        <w:rPr>
          <w:rFonts w:ascii="Calibri" w:eastAsia="Calibri" w:hAnsi="Calibri" w:cs="Calibri"/>
          <w:color w:val="000000"/>
          <w:sz w:val="22"/>
          <w:szCs w:val="22"/>
        </w:rPr>
        <w:t>281.882.3045</w:t>
      </w:r>
    </w:p>
    <w:p w14:paraId="078C2304" w14:textId="77777777" w:rsidR="00D4716D" w:rsidRDefault="006F1F90">
      <w:pPr>
        <w:ind w:left="5040" w:firstLine="720"/>
        <w:jc w:val="right"/>
        <w:rPr>
          <w:rFonts w:ascii="Calibri" w:eastAsia="Calibri" w:hAnsi="Calibri" w:cs="Calibri"/>
          <w:color w:val="000000"/>
          <w:sz w:val="22"/>
          <w:szCs w:val="22"/>
          <w:u w:val="single"/>
        </w:rPr>
      </w:pPr>
      <w:hyperlink r:id="rId7" w:history="1">
        <w:r w:rsidR="004D24ED">
          <w:rPr>
            <w:rFonts w:ascii="Calibri" w:eastAsia="Calibri" w:hAnsi="Calibri" w:cs="Calibri"/>
            <w:color w:val="000000"/>
            <w:sz w:val="22"/>
            <w:szCs w:val="22"/>
            <w:u w:val="single"/>
          </w:rPr>
          <w:t>pr@m2theagency.com</w:t>
        </w:r>
      </w:hyperlink>
    </w:p>
    <w:p w14:paraId="2627F95E" w14:textId="77777777" w:rsidR="00D4716D" w:rsidRDefault="00D4716D">
      <w:pPr>
        <w:ind w:left="5040" w:firstLine="720"/>
        <w:jc w:val="right"/>
        <w:rPr>
          <w:rFonts w:ascii="Calibri" w:eastAsia="Calibri" w:hAnsi="Calibri" w:cs="Calibri"/>
          <w:color w:val="000000"/>
          <w:u w:val="single"/>
        </w:rPr>
      </w:pPr>
    </w:p>
    <w:p w14:paraId="6696455E" w14:textId="77777777" w:rsidR="00D4716D" w:rsidRDefault="00D4716D">
      <w:pPr>
        <w:ind w:left="5040" w:firstLine="720"/>
        <w:jc w:val="right"/>
        <w:rPr>
          <w:rFonts w:ascii="Calibri" w:eastAsia="Calibri" w:hAnsi="Calibri" w:cs="Calibri"/>
          <w:color w:val="000000"/>
        </w:rPr>
      </w:pPr>
    </w:p>
    <w:p w14:paraId="2DF00629" w14:textId="77777777" w:rsidR="00D4716D" w:rsidRDefault="004D24ED">
      <w:pPr>
        <w:rPr>
          <w:rFonts w:ascii="Calibri" w:eastAsia="Calibri" w:hAnsi="Calibri" w:cs="Calibri"/>
          <w:color w:val="000000"/>
        </w:rPr>
      </w:pPr>
      <w:r>
        <w:rPr>
          <w:rFonts w:ascii="Calibri" w:eastAsia="Calibri" w:hAnsi="Calibri" w:cs="Calibri"/>
          <w:color w:val="000000"/>
        </w:rPr>
        <w:tab/>
        <w:t xml:space="preserve">   </w:t>
      </w:r>
      <w:r>
        <w:rPr>
          <w:rFonts w:ascii="Calibri" w:eastAsia="Calibri" w:hAnsi="Calibri" w:cs="Calibri"/>
          <w:color w:val="000000"/>
        </w:rPr>
        <w:tab/>
      </w:r>
      <w:r>
        <w:rPr>
          <w:rFonts w:ascii="Calibri" w:eastAsia="Calibri" w:hAnsi="Calibri" w:cs="Calibri"/>
          <w:color w:val="000000"/>
        </w:rPr>
        <w:tab/>
        <w:t xml:space="preserve">  </w:t>
      </w:r>
      <w:r>
        <w:rPr>
          <w:rFonts w:ascii="Calibri" w:eastAsia="Calibri" w:hAnsi="Calibri" w:cs="Calibri"/>
          <w:color w:val="000000"/>
        </w:rPr>
        <w:tab/>
        <w:t xml:space="preserve">   </w:t>
      </w:r>
      <w:r>
        <w:rPr>
          <w:rFonts w:ascii="Calibri" w:eastAsia="Calibri" w:hAnsi="Calibri" w:cs="Calibri"/>
          <w:color w:val="000000"/>
        </w:rPr>
        <w:tab/>
        <w:t xml:space="preserve">   </w:t>
      </w:r>
      <w:r>
        <w:rPr>
          <w:rFonts w:ascii="Calibri" w:eastAsia="Calibri" w:hAnsi="Calibri" w:cs="Calibri"/>
          <w:color w:val="000000"/>
        </w:rPr>
        <w:tab/>
        <w:t xml:space="preserve">     </w:t>
      </w:r>
      <w:r>
        <w:rPr>
          <w:rFonts w:ascii="Calibri" w:eastAsia="Calibri" w:hAnsi="Calibri" w:cs="Calibri"/>
          <w:color w:val="000000"/>
        </w:rPr>
        <w:tab/>
        <w:t xml:space="preserve">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             </w:t>
      </w:r>
    </w:p>
    <w:p w14:paraId="6C2912A8" w14:textId="77777777" w:rsidR="00D4716D" w:rsidRDefault="004D24ED">
      <w:pPr>
        <w:pStyle w:val="Heading1"/>
        <w:shd w:val="clear" w:color="auto" w:fill="FFFFFF"/>
        <w:spacing w:before="0"/>
        <w:rPr>
          <w:rFonts w:ascii="Calibri" w:eastAsia="Calibri" w:hAnsi="Calibri" w:cs="Calibri"/>
          <w:b/>
          <w:color w:val="000000"/>
        </w:rPr>
      </w:pPr>
      <w:r>
        <w:rPr>
          <w:rFonts w:ascii="Calibri" w:eastAsia="Calibri" w:hAnsi="Calibri" w:cs="Calibri"/>
          <w:b/>
          <w:color w:val="000000"/>
        </w:rPr>
        <w:t xml:space="preserve">For Immediate Release: First Close Announced for $150 Million Venture Capital Fund ‘Curql’ </w:t>
      </w:r>
    </w:p>
    <w:p w14:paraId="7EBDA6F8" w14:textId="77777777" w:rsidR="00D4716D" w:rsidRDefault="00D4716D">
      <w:pPr>
        <w:rPr>
          <w:rFonts w:ascii="Calibri" w:eastAsia="Calibri" w:hAnsi="Calibri" w:cs="Calibri"/>
          <w:b/>
          <w:color w:val="000000"/>
          <w:sz w:val="40"/>
          <w:szCs w:val="40"/>
        </w:rPr>
      </w:pPr>
    </w:p>
    <w:p w14:paraId="4CBB86AF" w14:textId="410F7415" w:rsidR="00D4716D" w:rsidRDefault="004D24ED">
      <w:pPr>
        <w:rPr>
          <w:rFonts w:ascii="Calibri" w:eastAsia="Calibri" w:hAnsi="Calibri" w:cs="Calibri"/>
          <w:color w:val="000000"/>
          <w:sz w:val="22"/>
          <w:szCs w:val="22"/>
        </w:rPr>
      </w:pPr>
      <w:r>
        <w:rPr>
          <w:rFonts w:ascii="Calibri" w:eastAsia="Calibri" w:hAnsi="Calibri" w:cs="Calibri"/>
          <w:b/>
          <w:color w:val="000000"/>
          <w:sz w:val="22"/>
          <w:szCs w:val="22"/>
        </w:rPr>
        <w:t>(Des Moines, Iowa)</w:t>
      </w:r>
      <w:r>
        <w:rPr>
          <w:rFonts w:ascii="Calibri" w:eastAsia="Calibri" w:hAnsi="Calibri" w:cs="Calibri"/>
          <w:color w:val="000000"/>
          <w:sz w:val="22"/>
          <w:szCs w:val="22"/>
        </w:rPr>
        <w:t> — </w:t>
      </w:r>
      <w:hyperlink r:id="rId8" w:history="1">
        <w:r>
          <w:rPr>
            <w:rFonts w:ascii="Calibri" w:eastAsia="Calibri" w:hAnsi="Calibri" w:cs="Calibri"/>
            <w:color w:val="000000"/>
            <w:sz w:val="22"/>
            <w:szCs w:val="22"/>
            <w:u w:val="single"/>
          </w:rPr>
          <w:t>Curql Collective</w:t>
        </w:r>
      </w:hyperlink>
      <w:r w:rsidRPr="00002A61">
        <w:rPr>
          <w:rFonts w:ascii="Calibri" w:eastAsia="Calibri" w:hAnsi="Calibri" w:cs="Calibri"/>
          <w:color w:val="000000"/>
          <w:sz w:val="22"/>
          <w:szCs w:val="22"/>
          <w:u w:val="single"/>
        </w:rPr>
        <w:t>’s</w:t>
      </w:r>
      <w:r>
        <w:rPr>
          <w:rFonts w:ascii="Calibri" w:eastAsia="Calibri" w:hAnsi="Calibri" w:cs="Calibri"/>
          <w:color w:val="000000"/>
          <w:sz w:val="22"/>
          <w:szCs w:val="22"/>
        </w:rPr>
        <w:t xml:space="preserve"> flagship Curql Fund I announced </w:t>
      </w:r>
      <w:sdt>
        <w:sdtPr>
          <w:tag w:val="goog_rdk_0"/>
          <w:id w:val="2062056598"/>
        </w:sdtPr>
        <w:sdtEndPr/>
        <w:sdtContent>
          <w:r>
            <w:rPr>
              <w:rFonts w:ascii="Calibri" w:eastAsia="Calibri" w:hAnsi="Calibri" w:cs="Calibri"/>
              <w:color w:val="000000"/>
              <w:sz w:val="22"/>
              <w:szCs w:val="22"/>
            </w:rPr>
            <w:t>its</w:t>
          </w:r>
        </w:sdtContent>
      </w:sdt>
      <w:r>
        <w:rPr>
          <w:rFonts w:ascii="Calibri" w:eastAsia="Calibri" w:hAnsi="Calibri" w:cs="Calibri"/>
          <w:color w:val="000000"/>
          <w:sz w:val="22"/>
          <w:szCs w:val="22"/>
        </w:rPr>
        <w:t xml:space="preserve"> first fundraising close on </w:t>
      </w:r>
      <w:r w:rsidR="00926649">
        <w:rPr>
          <w:rFonts w:ascii="Calibri" w:eastAsia="Calibri" w:hAnsi="Calibri" w:cs="Calibri"/>
          <w:color w:val="000000"/>
          <w:sz w:val="22"/>
          <w:szCs w:val="22"/>
        </w:rPr>
        <w:t>April 6</w:t>
      </w:r>
      <w:r>
        <w:rPr>
          <w:rFonts w:ascii="Calibri" w:eastAsia="Calibri" w:hAnsi="Calibri" w:cs="Calibri"/>
          <w:color w:val="000000"/>
          <w:sz w:val="22"/>
          <w:szCs w:val="22"/>
        </w:rPr>
        <w:t xml:space="preserve">, 2021, reaching an initial fundraising goal </w:t>
      </w:r>
      <w:r w:rsidR="005A209A">
        <w:rPr>
          <w:rFonts w:ascii="Calibri" w:eastAsia="Calibri" w:hAnsi="Calibri" w:cs="Calibri"/>
          <w:color w:val="000000"/>
          <w:sz w:val="22"/>
          <w:szCs w:val="22"/>
        </w:rPr>
        <w:t>in excess of</w:t>
      </w:r>
      <w:r>
        <w:rPr>
          <w:rFonts w:ascii="Calibri" w:eastAsia="Calibri" w:hAnsi="Calibri" w:cs="Calibri"/>
          <w:color w:val="000000"/>
          <w:sz w:val="22"/>
          <w:szCs w:val="22"/>
        </w:rPr>
        <w:t xml:space="preserve"> $</w:t>
      </w:r>
      <w:r w:rsidR="005A209A">
        <w:rPr>
          <w:rFonts w:ascii="Calibri" w:eastAsia="Calibri" w:hAnsi="Calibri" w:cs="Calibri"/>
          <w:color w:val="000000"/>
          <w:sz w:val="22"/>
          <w:szCs w:val="22"/>
        </w:rPr>
        <w:t>70</w:t>
      </w:r>
      <w:r>
        <w:rPr>
          <w:rFonts w:ascii="Calibri" w:eastAsia="Calibri" w:hAnsi="Calibri" w:cs="Calibri"/>
          <w:color w:val="000000"/>
          <w:sz w:val="22"/>
          <w:szCs w:val="22"/>
        </w:rPr>
        <w:t xml:space="preserve">M. Created and launched to the industry by the </w:t>
      </w:r>
      <w:r w:rsidR="00544538">
        <w:rPr>
          <w:rFonts w:ascii="Calibri" w:eastAsia="Calibri" w:hAnsi="Calibri" w:cs="Calibri"/>
          <w:color w:val="000000"/>
          <w:sz w:val="22"/>
          <w:szCs w:val="22"/>
        </w:rPr>
        <w:t>collaborati</w:t>
      </w:r>
      <w:r w:rsidR="00572BCA">
        <w:rPr>
          <w:rFonts w:ascii="Calibri" w:eastAsia="Calibri" w:hAnsi="Calibri" w:cs="Calibri"/>
          <w:color w:val="000000"/>
          <w:sz w:val="22"/>
          <w:szCs w:val="22"/>
        </w:rPr>
        <w:t>ve innovation</w:t>
      </w:r>
      <w:r>
        <w:rPr>
          <w:rFonts w:ascii="Calibri" w:eastAsia="Calibri" w:hAnsi="Calibri" w:cs="Calibri"/>
          <w:color w:val="000000"/>
          <w:sz w:val="22"/>
          <w:szCs w:val="22"/>
        </w:rPr>
        <w:t xml:space="preserve"> at </w:t>
      </w:r>
      <w:hyperlink r:id="rId9" w:history="1">
        <w:r>
          <w:rPr>
            <w:rFonts w:ascii="Calibri" w:eastAsia="Calibri" w:hAnsi="Calibri" w:cs="Calibri"/>
            <w:color w:val="000000"/>
            <w:sz w:val="22"/>
            <w:szCs w:val="22"/>
            <w:highlight w:val="white"/>
            <w:u w:val="single"/>
          </w:rPr>
          <w:t>Members Development Company</w:t>
        </w:r>
      </w:hyperlink>
      <w:r>
        <w:rPr>
          <w:rFonts w:ascii="Calibri" w:eastAsia="Calibri" w:hAnsi="Calibri" w:cs="Calibri"/>
          <w:color w:val="000000"/>
          <w:sz w:val="22"/>
          <w:szCs w:val="22"/>
          <w:highlight w:val="white"/>
        </w:rPr>
        <w:t xml:space="preserve"> (MDC), Curql Fund I is the only VC fund of its kind – serving as a</w:t>
      </w:r>
      <w:r>
        <w:rPr>
          <w:rFonts w:ascii="Calibri" w:eastAsia="Calibri" w:hAnsi="Calibri" w:cs="Calibri"/>
          <w:color w:val="000000"/>
          <w:sz w:val="22"/>
          <w:szCs w:val="22"/>
        </w:rPr>
        <w:t xml:space="preserve"> gateway for FinTech access to credit unions. </w:t>
      </w:r>
    </w:p>
    <w:p w14:paraId="512AB486" w14:textId="77777777" w:rsidR="00D4716D" w:rsidRDefault="00D4716D">
      <w:pPr>
        <w:rPr>
          <w:rFonts w:ascii="Calibri" w:eastAsia="Calibri" w:hAnsi="Calibri" w:cs="Calibri"/>
          <w:color w:val="000000"/>
          <w:sz w:val="22"/>
          <w:szCs w:val="22"/>
          <w:highlight w:val="white"/>
        </w:rPr>
      </w:pPr>
    </w:p>
    <w:p w14:paraId="3072F420" w14:textId="41E4C2CA" w:rsidR="00A505D2" w:rsidRPr="005A209A" w:rsidRDefault="005A209A" w:rsidP="00A505D2">
      <w:pPr>
        <w:rPr>
          <w:rFonts w:ascii="Calibri" w:hAnsi="Calibri"/>
          <w:sz w:val="22"/>
          <w:szCs w:val="22"/>
        </w:rPr>
      </w:pPr>
      <w:r w:rsidRPr="005A209A">
        <w:rPr>
          <w:rFonts w:ascii="Calibri" w:hAnsi="Calibri" w:cs="Arial"/>
          <w:color w:val="000000"/>
          <w:sz w:val="22"/>
          <w:szCs w:val="22"/>
        </w:rPr>
        <w:t>Brian E. Wolfburg, President and CEO of VyStar Credit Union</w:t>
      </w:r>
      <w:r w:rsidR="00A505D2">
        <w:rPr>
          <w:rFonts w:ascii="Calibri" w:eastAsia="Calibri" w:hAnsi="Calibri" w:cs="Calibri"/>
          <w:color w:val="000000"/>
          <w:sz w:val="22"/>
          <w:szCs w:val="22"/>
        </w:rPr>
        <w:t>, one of Curql’s early investors, notes, "</w:t>
      </w:r>
      <w:r>
        <w:rPr>
          <w:rFonts w:ascii="Calibri" w:eastAsia="Calibri" w:hAnsi="Calibri" w:cs="Calibri"/>
          <w:color w:val="000000"/>
          <w:sz w:val="22"/>
          <w:szCs w:val="22"/>
        </w:rPr>
        <w:t>VyStar</w:t>
      </w:r>
      <w:r w:rsidR="00A505D2">
        <w:rPr>
          <w:rFonts w:ascii="Calibri" w:eastAsia="Calibri" w:hAnsi="Calibri" w:cs="Calibri"/>
          <w:color w:val="000000"/>
          <w:sz w:val="22"/>
          <w:szCs w:val="22"/>
        </w:rPr>
        <w:t xml:space="preserve"> is committed to investing in innovation through technology to keep our organization on the leading edge of member experience, so the investment was a natural fit. The speed at which Curql completed this first round of fundraising speaks volumes to the credit union industr</w:t>
      </w:r>
      <w:sdt>
        <w:sdtPr>
          <w:tag w:val="goog_rdk_2"/>
          <w:id w:val="451369869"/>
        </w:sdtPr>
        <w:sdtEndPr/>
        <w:sdtContent/>
      </w:sdt>
      <w:sdt>
        <w:sdtPr>
          <w:tag w:val="goog_rdk_3"/>
          <w:id w:val="-2123455251"/>
          <w:showingPlcHdr/>
        </w:sdtPr>
        <w:sdtEndPr/>
        <w:sdtContent/>
      </w:sdt>
      <w:r w:rsidR="00A505D2">
        <w:rPr>
          <w:rFonts w:ascii="Calibri" w:eastAsia="Calibri" w:hAnsi="Calibri" w:cs="Calibri"/>
          <w:color w:val="000000"/>
          <w:sz w:val="22"/>
          <w:szCs w:val="22"/>
        </w:rPr>
        <w:t>y's commitment to ensuring our relevance in an ever-changing space."</w:t>
      </w:r>
    </w:p>
    <w:p w14:paraId="69F885E7" w14:textId="77777777" w:rsidR="00D4716D" w:rsidRDefault="00D4716D">
      <w:pPr>
        <w:rPr>
          <w:rFonts w:ascii="Calibri" w:eastAsia="Calibri" w:hAnsi="Calibri" w:cs="Calibri"/>
          <w:color w:val="000000"/>
          <w:sz w:val="22"/>
          <w:szCs w:val="22"/>
        </w:rPr>
      </w:pPr>
    </w:p>
    <w:p w14:paraId="10D47964" w14:textId="5DC17C49" w:rsidR="005A209A" w:rsidRDefault="005A209A" w:rsidP="005A209A">
      <w:pPr>
        <w:rPr>
          <w:rFonts w:ascii="Calibri" w:eastAsia="Calibri" w:hAnsi="Calibri" w:cs="Calibri"/>
          <w:color w:val="000000"/>
          <w:sz w:val="22"/>
          <w:szCs w:val="22"/>
        </w:rPr>
      </w:pPr>
      <w:r>
        <w:rPr>
          <w:rFonts w:ascii="Calibri" w:eastAsia="Calibri" w:hAnsi="Calibri" w:cs="Calibri"/>
          <w:color w:val="000000"/>
          <w:sz w:val="22"/>
          <w:szCs w:val="22"/>
        </w:rPr>
        <w:t xml:space="preserve">Investors committed during the first round of fundraising include Affinity Plus FCU, </w:t>
      </w:r>
      <w:r w:rsidRPr="005A209A">
        <w:rPr>
          <w:rFonts w:ascii="Calibri" w:eastAsia="Calibri" w:hAnsi="Calibri" w:cs="Calibri"/>
          <w:color w:val="000000"/>
          <w:sz w:val="22"/>
          <w:szCs w:val="22"/>
        </w:rPr>
        <w:t>Alloya Corporate Federal Credit Union,</w:t>
      </w:r>
      <w:r>
        <w:rPr>
          <w:rFonts w:ascii="Calibri" w:eastAsia="Calibri" w:hAnsi="Calibri" w:cs="Calibri"/>
          <w:color w:val="000000"/>
          <w:sz w:val="22"/>
          <w:szCs w:val="22"/>
        </w:rPr>
        <w:t xml:space="preserve"> Altra FCU, Campus USA CU, Coastal Credit Union, Community First Credit Union (Florida), Co-Op Financial Services, Desert Financial Credit Union, Educators Credit Union, Evansville Teachers Federal Credit Union, Georgia’s Own Credit Union, Hudson Valley Credit Union, IH Mississippi Valley Credit Union, Meritrust Credit Union, Michigan State University Federal Credit Union, New England Federal Credit Union, SchoolsFirst Federal Credit Union, Sound Credit Union, Suncoast Credit Union, TDECU, UNIFY Financial Credit Union, USE Credit Union, Veridian Credit Union, VyStar Credit Union, and Y-12 Federal Credit Union.</w:t>
      </w:r>
    </w:p>
    <w:p w14:paraId="764008A3" w14:textId="77777777" w:rsidR="00D4716D" w:rsidRDefault="00D4716D">
      <w:pPr>
        <w:rPr>
          <w:rFonts w:ascii="Calibri" w:eastAsia="Calibri" w:hAnsi="Calibri" w:cs="Calibri"/>
          <w:color w:val="000000"/>
          <w:sz w:val="22"/>
          <w:szCs w:val="22"/>
        </w:rPr>
      </w:pPr>
    </w:p>
    <w:p w14:paraId="11985220" w14:textId="2753821F" w:rsidR="00D4716D" w:rsidRDefault="004D24ED">
      <w:pPr>
        <w:rPr>
          <w:rFonts w:ascii="Calibri" w:eastAsia="Calibri" w:hAnsi="Calibri" w:cs="Calibri"/>
          <w:color w:val="000000"/>
          <w:sz w:val="22"/>
          <w:szCs w:val="22"/>
        </w:rPr>
      </w:pPr>
      <w:r>
        <w:rPr>
          <w:rFonts w:ascii="Calibri" w:eastAsia="Calibri" w:hAnsi="Calibri" w:cs="Calibri"/>
          <w:color w:val="000000"/>
          <w:sz w:val="22"/>
          <w:szCs w:val="22"/>
        </w:rPr>
        <w:t>As the fund moves into the next round of fundraising, MDC President and CEO Jeff Kline commented, “While the idea of Curql began with a team</w:t>
      </w:r>
      <w:r w:rsidR="00544538">
        <w:rPr>
          <w:rFonts w:ascii="Calibri" w:eastAsia="Calibri" w:hAnsi="Calibri" w:cs="Calibri"/>
          <w:color w:val="000000"/>
          <w:sz w:val="22"/>
          <w:szCs w:val="22"/>
        </w:rPr>
        <w:t xml:space="preserve"> of</w:t>
      </w:r>
      <w:r w:rsidR="00102C4C">
        <w:rPr>
          <w:rFonts w:ascii="Calibri" w:eastAsia="Calibri" w:hAnsi="Calibri" w:cs="Calibri"/>
          <w:color w:val="000000"/>
          <w:sz w:val="22"/>
          <w:szCs w:val="22"/>
        </w:rPr>
        <w:t xml:space="preserve"> MDC</w:t>
      </w:r>
      <w:r w:rsidR="00544538">
        <w:rPr>
          <w:rFonts w:ascii="Calibri" w:eastAsia="Calibri" w:hAnsi="Calibri" w:cs="Calibri"/>
          <w:color w:val="000000"/>
          <w:sz w:val="22"/>
          <w:szCs w:val="22"/>
        </w:rPr>
        <w:t xml:space="preserve"> credit unions</w:t>
      </w:r>
      <w:r>
        <w:rPr>
          <w:rFonts w:ascii="Calibri" w:eastAsia="Calibri" w:hAnsi="Calibri" w:cs="Calibri"/>
          <w:color w:val="000000"/>
          <w:sz w:val="22"/>
          <w:szCs w:val="22"/>
        </w:rPr>
        <w:t>, we’re excited to onboard investors across our industry who are interested in making real change that impact</w:t>
      </w:r>
      <w:r w:rsidR="00CA5C35">
        <w:rPr>
          <w:rFonts w:ascii="Calibri" w:eastAsia="Calibri" w:hAnsi="Calibri" w:cs="Calibri"/>
          <w:color w:val="000000"/>
          <w:sz w:val="22"/>
          <w:szCs w:val="22"/>
        </w:rPr>
        <w:t>s</w:t>
      </w:r>
      <w:r>
        <w:rPr>
          <w:rFonts w:ascii="Calibri" w:eastAsia="Calibri" w:hAnsi="Calibri" w:cs="Calibri"/>
          <w:color w:val="000000"/>
          <w:sz w:val="22"/>
          <w:szCs w:val="22"/>
        </w:rPr>
        <w:t xml:space="preserve"> how organizations engage with their members, and how members engage with their money. We're opening the door for credit unions to make an impact and for FinTech companies to access a wide range of new customers</w:t>
      </w:r>
      <w:r w:rsidR="006F1F90">
        <w:rPr>
          <w:rFonts w:ascii="Calibri" w:eastAsia="Calibri" w:hAnsi="Calibri" w:cs="Calibri"/>
          <w:color w:val="000000"/>
          <w:sz w:val="22"/>
          <w:szCs w:val="22"/>
        </w:rPr>
        <w:t>.</w:t>
      </w:r>
      <w:r>
        <w:rPr>
          <w:rFonts w:ascii="Calibri" w:eastAsia="Calibri" w:hAnsi="Calibri" w:cs="Calibri"/>
          <w:color w:val="000000"/>
          <w:sz w:val="22"/>
          <w:szCs w:val="22"/>
        </w:rPr>
        <w:t>”</w:t>
      </w:r>
    </w:p>
    <w:p w14:paraId="1B934150" w14:textId="77777777" w:rsidR="00D4716D" w:rsidRDefault="004D24ED">
      <w:pP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  </w:t>
      </w:r>
    </w:p>
    <w:p w14:paraId="7B3D4990" w14:textId="77777777" w:rsidR="00D4716D" w:rsidRDefault="004D24ED">
      <w:pPr>
        <w:rPr>
          <w:rFonts w:ascii="Calibri" w:eastAsia="Calibri" w:hAnsi="Calibri" w:cs="Calibri"/>
          <w:color w:val="000000"/>
          <w:sz w:val="22"/>
          <w:szCs w:val="22"/>
        </w:rPr>
      </w:pPr>
      <w:r>
        <w:rPr>
          <w:rFonts w:ascii="Calibri" w:eastAsia="Calibri" w:hAnsi="Calibri" w:cs="Calibri"/>
          <w:b/>
          <w:color w:val="000000"/>
          <w:sz w:val="22"/>
          <w:szCs w:val="22"/>
        </w:rPr>
        <w:t>About Curql</w:t>
      </w:r>
    </w:p>
    <w:p w14:paraId="793C1FA8" w14:textId="77777777" w:rsidR="00D4716D" w:rsidRDefault="00D4716D">
      <w:pPr>
        <w:rPr>
          <w:rFonts w:ascii="Calibri" w:eastAsia="Calibri" w:hAnsi="Calibri" w:cs="Calibri"/>
          <w:color w:val="000000"/>
          <w:sz w:val="22"/>
          <w:szCs w:val="22"/>
        </w:rPr>
      </w:pPr>
    </w:p>
    <w:p w14:paraId="12976419" w14:textId="77777777" w:rsidR="00D4716D" w:rsidRDefault="004D24ED">
      <w:pPr>
        <w:rPr>
          <w:rFonts w:ascii="Calibri" w:eastAsia="Calibri" w:hAnsi="Calibri" w:cs="Calibri"/>
          <w:color w:val="000000"/>
          <w:sz w:val="22"/>
          <w:szCs w:val="22"/>
        </w:rPr>
      </w:pPr>
      <w:r>
        <w:rPr>
          <w:rFonts w:ascii="Calibri" w:eastAsia="Calibri" w:hAnsi="Calibri" w:cs="Calibri"/>
          <w:color w:val="000000"/>
          <w:sz w:val="22"/>
          <w:szCs w:val="22"/>
        </w:rPr>
        <w:t xml:space="preserve">Curql is a collaborative approach to venture capital launched in 2020 by the progressive, industry-leading credit unions of </w:t>
      </w:r>
      <w:hyperlink r:id="rId10" w:history="1">
        <w:r>
          <w:rPr>
            <w:rFonts w:ascii="Calibri" w:eastAsia="Calibri" w:hAnsi="Calibri" w:cs="Calibri"/>
            <w:color w:val="000000"/>
            <w:sz w:val="22"/>
            <w:szCs w:val="22"/>
            <w:u w:val="single"/>
          </w:rPr>
          <w:t>Members Development Company</w:t>
        </w:r>
      </w:hyperlink>
      <w:r>
        <w:rPr>
          <w:rFonts w:ascii="Calibri" w:eastAsia="Calibri" w:hAnsi="Calibri" w:cs="Calibri"/>
          <w:color w:val="000000"/>
          <w:sz w:val="22"/>
          <w:szCs w:val="22"/>
        </w:rPr>
        <w:t xml:space="preserve"> (MDC) and is steered by a collective of former founders, operators, and leaders in the FinTech and VC spaces. The group's flagship – Curql Fund I – invests in the visions of entrepreneurs who thoughtfully and purposefully develop financial services technology that revolutionizes and innovates how people engage with their money. </w:t>
      </w:r>
    </w:p>
    <w:p w14:paraId="54E7D47E" w14:textId="77777777" w:rsidR="00D4716D" w:rsidRDefault="004D24ED">
      <w:pPr>
        <w:rPr>
          <w:rFonts w:ascii="Calibri" w:eastAsia="Calibri" w:hAnsi="Calibri" w:cs="Calibri"/>
          <w:color w:val="000000"/>
          <w:sz w:val="22"/>
          <w:szCs w:val="22"/>
        </w:rPr>
      </w:pPr>
      <w:r>
        <w:rPr>
          <w:rFonts w:ascii="Calibri" w:eastAsia="Calibri" w:hAnsi="Calibri" w:cs="Calibri"/>
          <w:color w:val="000000"/>
          <w:sz w:val="22"/>
          <w:szCs w:val="22"/>
        </w:rPr>
        <w:t> </w:t>
      </w:r>
    </w:p>
    <w:p w14:paraId="5CCFD591" w14:textId="77777777" w:rsidR="00D4716D" w:rsidRDefault="004D24ED">
      <w:pPr>
        <w:rPr>
          <w:rFonts w:ascii="Calibri" w:eastAsia="Calibri" w:hAnsi="Calibri" w:cs="Calibri"/>
          <w:color w:val="000000"/>
          <w:sz w:val="22"/>
          <w:szCs w:val="22"/>
        </w:rPr>
      </w:pPr>
      <w:r>
        <w:rPr>
          <w:rFonts w:ascii="Calibri" w:eastAsia="Calibri" w:hAnsi="Calibri" w:cs="Calibri"/>
          <w:color w:val="000000"/>
          <w:sz w:val="22"/>
          <w:szCs w:val="22"/>
        </w:rPr>
        <w:t>Curql Fund I is managed by </w:t>
      </w:r>
      <w:hyperlink r:id="rId11" w:history="1">
        <w:r>
          <w:rPr>
            <w:rFonts w:ascii="Calibri" w:eastAsia="Calibri" w:hAnsi="Calibri" w:cs="Calibri"/>
            <w:color w:val="000000"/>
            <w:sz w:val="22"/>
            <w:szCs w:val="22"/>
            <w:u w:val="single"/>
          </w:rPr>
          <w:t>Next Level Ventures</w:t>
        </w:r>
      </w:hyperlink>
      <w:r>
        <w:rPr>
          <w:rFonts w:ascii="Calibri" w:eastAsia="Calibri" w:hAnsi="Calibri" w:cs="Calibri"/>
          <w:color w:val="000000"/>
          <w:sz w:val="22"/>
          <w:szCs w:val="22"/>
        </w:rPr>
        <w:t>, the largest investment firm managing credit union assets today. The Next Level team has over 50 years of collective experience in supporting the remarkable people leading the way in innovative technology development.</w:t>
      </w:r>
    </w:p>
    <w:p w14:paraId="2C40F5D1" w14:textId="77777777" w:rsidR="00D4716D" w:rsidRDefault="00D4716D">
      <w:pPr>
        <w:rPr>
          <w:rFonts w:ascii="Calibri" w:eastAsia="Calibri" w:hAnsi="Calibri" w:cs="Calibri"/>
          <w:color w:val="000000"/>
          <w:sz w:val="22"/>
          <w:szCs w:val="22"/>
        </w:rPr>
      </w:pPr>
    </w:p>
    <w:p w14:paraId="53231A1B" w14:textId="77777777" w:rsidR="00D4716D" w:rsidRDefault="004D24ED">
      <w:pPr>
        <w:jc w:val="center"/>
        <w:rPr>
          <w:rFonts w:ascii="Calibri" w:eastAsia="Calibri" w:hAnsi="Calibri" w:cs="Calibri"/>
          <w:color w:val="000000"/>
          <w:sz w:val="22"/>
          <w:szCs w:val="22"/>
        </w:rPr>
      </w:pPr>
      <w:r>
        <w:rPr>
          <w:rFonts w:ascii="Calibri" w:eastAsia="Calibri" w:hAnsi="Calibri" w:cs="Calibri"/>
          <w:color w:val="000000"/>
          <w:sz w:val="22"/>
          <w:szCs w:val="22"/>
        </w:rPr>
        <w:t>-###-</w:t>
      </w:r>
    </w:p>
    <w:sectPr w:rsidR="00D4716D">
      <w:pgSz w:w="12240" w:h="15840"/>
      <w:pgMar w:top="1008" w:right="1440" w:bottom="63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altName w:val="Calibri"/>
    <w:panose1 w:val="020F0502020204030204"/>
    <w:charset w:val="00"/>
    <w:family w:val="swiss"/>
    <w:pitch w:val="variable"/>
    <w:sig w:usb0="A00002EF" w:usb1="4000207B"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16D"/>
    <w:rsid w:val="00002A61"/>
    <w:rsid w:val="00062E7C"/>
    <w:rsid w:val="00102C4C"/>
    <w:rsid w:val="001604DC"/>
    <w:rsid w:val="004D24ED"/>
    <w:rsid w:val="0054014D"/>
    <w:rsid w:val="00544538"/>
    <w:rsid w:val="00572BCA"/>
    <w:rsid w:val="005A209A"/>
    <w:rsid w:val="006F1F90"/>
    <w:rsid w:val="00770A73"/>
    <w:rsid w:val="0080647D"/>
    <w:rsid w:val="00926649"/>
    <w:rsid w:val="00A505D2"/>
    <w:rsid w:val="00AD4741"/>
    <w:rsid w:val="00CA5C35"/>
    <w:rsid w:val="00D4716D"/>
    <w:rsid w:val="00F67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1AE00"/>
  <w15:docId w15:val="{343413C8-2DF1-3846-A13E-00231FEA9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5B4"/>
  </w:style>
  <w:style w:type="paragraph" w:styleId="Heading1">
    <w:name w:val="heading 1"/>
    <w:basedOn w:val="Normal"/>
    <w:next w:val="Normal"/>
    <w:link w:val="Heading1Char"/>
    <w:uiPriority w:val="9"/>
    <w:qFormat/>
    <w:rsid w:val="00211A8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link w:val="Heading5Char"/>
    <w:uiPriority w:val="9"/>
    <w:semiHidden/>
    <w:unhideWhenUsed/>
    <w:qFormat/>
    <w:rsid w:val="00C34599"/>
    <w:pPr>
      <w:spacing w:before="100" w:beforeAutospacing="1" w:after="100" w:afterAutospacing="1"/>
      <w:outlineLvl w:val="4"/>
    </w:pPr>
    <w:rPr>
      <w:b/>
      <w:bCs/>
      <w:sz w:val="20"/>
      <w:szCs w:val="20"/>
      <w:lang w:val="x-none" w:eastAsia="x-non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2775B4"/>
    <w:pPr>
      <w:spacing w:before="100" w:beforeAutospacing="1" w:after="100" w:afterAutospacing="1"/>
    </w:pPr>
    <w:rPr>
      <w:color w:val="000000"/>
    </w:rPr>
  </w:style>
  <w:style w:type="paragraph" w:customStyle="1" w:styleId="Default">
    <w:name w:val="Default"/>
    <w:rsid w:val="00784762"/>
    <w:pPr>
      <w:autoSpaceDE w:val="0"/>
      <w:autoSpaceDN w:val="0"/>
      <w:adjustRightInd w:val="0"/>
    </w:pPr>
    <w:rPr>
      <w:rFonts w:ascii="Arial" w:hAnsi="Arial" w:cs="Arial"/>
      <w:color w:val="000000"/>
    </w:rPr>
  </w:style>
  <w:style w:type="character" w:styleId="CommentReference">
    <w:name w:val="annotation reference"/>
    <w:rsid w:val="00C826A0"/>
    <w:rPr>
      <w:rFonts w:cs="Times New Roman"/>
      <w:sz w:val="16"/>
      <w:szCs w:val="16"/>
    </w:rPr>
  </w:style>
  <w:style w:type="paragraph" w:styleId="CommentText">
    <w:name w:val="annotation text"/>
    <w:basedOn w:val="Normal"/>
    <w:link w:val="CommentTextChar"/>
    <w:rsid w:val="00C826A0"/>
    <w:rPr>
      <w:sz w:val="20"/>
      <w:szCs w:val="20"/>
      <w:lang w:val="x-none" w:eastAsia="x-none"/>
    </w:rPr>
  </w:style>
  <w:style w:type="character" w:customStyle="1" w:styleId="CommentTextChar">
    <w:name w:val="Comment Text Char"/>
    <w:link w:val="CommentText"/>
    <w:locked/>
    <w:rsid w:val="00C826A0"/>
    <w:rPr>
      <w:rFonts w:cs="Times New Roman"/>
    </w:rPr>
  </w:style>
  <w:style w:type="paragraph" w:styleId="CommentSubject">
    <w:name w:val="annotation subject"/>
    <w:basedOn w:val="CommentText"/>
    <w:next w:val="CommentText"/>
    <w:link w:val="CommentSubjectChar"/>
    <w:rsid w:val="00C826A0"/>
    <w:rPr>
      <w:b/>
      <w:bCs/>
    </w:rPr>
  </w:style>
  <w:style w:type="character" w:customStyle="1" w:styleId="CommentSubjectChar">
    <w:name w:val="Comment Subject Char"/>
    <w:link w:val="CommentSubject"/>
    <w:locked/>
    <w:rsid w:val="00C826A0"/>
    <w:rPr>
      <w:rFonts w:cs="Times New Roman"/>
      <w:b/>
      <w:bCs/>
    </w:rPr>
  </w:style>
  <w:style w:type="paragraph" w:styleId="BalloonText">
    <w:name w:val="Balloon Text"/>
    <w:basedOn w:val="Normal"/>
    <w:link w:val="BalloonTextChar"/>
    <w:rsid w:val="00C826A0"/>
    <w:rPr>
      <w:rFonts w:ascii="Tahoma" w:hAnsi="Tahoma"/>
      <w:sz w:val="16"/>
      <w:szCs w:val="16"/>
      <w:lang w:val="x-none" w:eastAsia="x-none"/>
    </w:rPr>
  </w:style>
  <w:style w:type="character" w:customStyle="1" w:styleId="BalloonTextChar">
    <w:name w:val="Balloon Text Char"/>
    <w:link w:val="BalloonText"/>
    <w:locked/>
    <w:rsid w:val="00C826A0"/>
    <w:rPr>
      <w:rFonts w:ascii="Tahoma" w:hAnsi="Tahoma" w:cs="Tahoma"/>
      <w:sz w:val="16"/>
      <w:szCs w:val="16"/>
    </w:rPr>
  </w:style>
  <w:style w:type="paragraph" w:styleId="PlainText">
    <w:name w:val="Plain Text"/>
    <w:basedOn w:val="Normal"/>
    <w:link w:val="PlainTextChar"/>
    <w:uiPriority w:val="99"/>
    <w:rsid w:val="00287AE6"/>
    <w:rPr>
      <w:rFonts w:ascii="Consolas" w:hAnsi="Consolas"/>
      <w:sz w:val="21"/>
      <w:szCs w:val="21"/>
      <w:lang w:val="x-none" w:eastAsia="x-none"/>
    </w:rPr>
  </w:style>
  <w:style w:type="character" w:customStyle="1" w:styleId="PlainTextChar">
    <w:name w:val="Plain Text Char"/>
    <w:link w:val="PlainText"/>
    <w:uiPriority w:val="99"/>
    <w:locked/>
    <w:rsid w:val="00287AE6"/>
    <w:rPr>
      <w:rFonts w:ascii="Consolas" w:hAnsi="Consolas" w:cs="Times New Roman"/>
      <w:sz w:val="21"/>
      <w:szCs w:val="21"/>
    </w:rPr>
  </w:style>
  <w:style w:type="paragraph" w:customStyle="1" w:styleId="MediumGrid1-Accent21">
    <w:name w:val="Medium Grid 1 - Accent 21"/>
    <w:basedOn w:val="Normal"/>
    <w:qFormat/>
    <w:rsid w:val="005147CF"/>
    <w:pPr>
      <w:spacing w:after="200" w:line="276" w:lineRule="auto"/>
      <w:ind w:left="720"/>
      <w:contextualSpacing/>
    </w:pPr>
    <w:rPr>
      <w:rFonts w:ascii="Calibri" w:hAnsi="Calibri"/>
      <w:sz w:val="22"/>
      <w:szCs w:val="22"/>
    </w:rPr>
  </w:style>
  <w:style w:type="character" w:styleId="Hyperlink">
    <w:name w:val="Hyperlink"/>
    <w:rsid w:val="009F5473"/>
    <w:rPr>
      <w:rFonts w:cs="Times New Roman"/>
      <w:color w:val="0000FF"/>
      <w:u w:val="single"/>
    </w:rPr>
  </w:style>
  <w:style w:type="paragraph" w:customStyle="1" w:styleId="xdefault">
    <w:name w:val="x_default"/>
    <w:basedOn w:val="Normal"/>
    <w:rsid w:val="00BD30E4"/>
    <w:pPr>
      <w:spacing w:before="100" w:beforeAutospacing="1" w:after="100" w:afterAutospacing="1"/>
    </w:pPr>
  </w:style>
  <w:style w:type="paragraph" w:customStyle="1" w:styleId="xmsonormal">
    <w:name w:val="x_msonormal"/>
    <w:basedOn w:val="Normal"/>
    <w:rsid w:val="00BD30E4"/>
    <w:pPr>
      <w:spacing w:before="100" w:beforeAutospacing="1" w:after="100" w:afterAutospacing="1"/>
    </w:pPr>
  </w:style>
  <w:style w:type="paragraph" w:customStyle="1" w:styleId="default0">
    <w:name w:val="default"/>
    <w:basedOn w:val="Normal"/>
    <w:rsid w:val="00CB5F3E"/>
    <w:pPr>
      <w:autoSpaceDE w:val="0"/>
      <w:autoSpaceDN w:val="0"/>
    </w:pPr>
    <w:rPr>
      <w:rFonts w:ascii="Arial" w:hAnsi="Arial" w:cs="Arial"/>
      <w:color w:val="000000"/>
    </w:rPr>
  </w:style>
  <w:style w:type="paragraph" w:customStyle="1" w:styleId="MediumList2-Accent21">
    <w:name w:val="Medium List 2 - Accent 21"/>
    <w:hidden/>
    <w:uiPriority w:val="99"/>
    <w:semiHidden/>
    <w:rsid w:val="008E497A"/>
  </w:style>
  <w:style w:type="character" w:styleId="FollowedHyperlink">
    <w:name w:val="FollowedHyperlink"/>
    <w:rsid w:val="00A5064B"/>
    <w:rPr>
      <w:color w:val="800080"/>
      <w:u w:val="single"/>
    </w:rPr>
  </w:style>
  <w:style w:type="paragraph" w:customStyle="1" w:styleId="ColorfulList-Accent11">
    <w:name w:val="Colorful List - Accent 11"/>
    <w:basedOn w:val="Normal"/>
    <w:uiPriority w:val="34"/>
    <w:qFormat/>
    <w:rsid w:val="0011427D"/>
    <w:pPr>
      <w:ind w:left="720"/>
    </w:pPr>
  </w:style>
  <w:style w:type="paragraph" w:customStyle="1" w:styleId="s7">
    <w:name w:val="s7"/>
    <w:basedOn w:val="Normal"/>
    <w:rsid w:val="00877BA7"/>
    <w:pPr>
      <w:spacing w:before="100" w:beforeAutospacing="1" w:after="100" w:afterAutospacing="1"/>
    </w:pPr>
    <w:rPr>
      <w:rFonts w:eastAsia="Calibri"/>
    </w:rPr>
  </w:style>
  <w:style w:type="character" w:customStyle="1" w:styleId="s5">
    <w:name w:val="s5"/>
    <w:basedOn w:val="DefaultParagraphFont"/>
    <w:rsid w:val="00877BA7"/>
  </w:style>
  <w:style w:type="character" w:customStyle="1" w:styleId="bumpedfont15">
    <w:name w:val="bumpedfont15"/>
    <w:basedOn w:val="DefaultParagraphFont"/>
    <w:rsid w:val="00877BA7"/>
  </w:style>
  <w:style w:type="character" w:customStyle="1" w:styleId="Heading5Char">
    <w:name w:val="Heading 5 Char"/>
    <w:link w:val="Heading5"/>
    <w:uiPriority w:val="9"/>
    <w:rsid w:val="00C34599"/>
    <w:rPr>
      <w:b/>
      <w:bCs/>
    </w:rPr>
  </w:style>
  <w:style w:type="character" w:customStyle="1" w:styleId="apple-converted-space">
    <w:name w:val="apple-converted-space"/>
    <w:rsid w:val="005F242C"/>
  </w:style>
  <w:style w:type="paragraph" w:customStyle="1" w:styleId="font8">
    <w:name w:val="font_8"/>
    <w:basedOn w:val="Normal"/>
    <w:rsid w:val="00062E7C"/>
    <w:pPr>
      <w:spacing w:before="100" w:beforeAutospacing="1" w:after="100" w:afterAutospacing="1"/>
    </w:pPr>
  </w:style>
  <w:style w:type="character" w:customStyle="1" w:styleId="color16">
    <w:name w:val="color_16"/>
    <w:basedOn w:val="DefaultParagraphFont"/>
    <w:rsid w:val="00062E7C"/>
  </w:style>
  <w:style w:type="character" w:customStyle="1" w:styleId="5yl5">
    <w:name w:val="_5yl5"/>
    <w:basedOn w:val="DefaultParagraphFont"/>
    <w:rsid w:val="00CB68EB"/>
  </w:style>
  <w:style w:type="character" w:customStyle="1" w:styleId="Heading1Char">
    <w:name w:val="Heading 1 Char"/>
    <w:basedOn w:val="DefaultParagraphFont"/>
    <w:link w:val="Heading1"/>
    <w:rsid w:val="00211A84"/>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locked/>
    <w:rsid w:val="00211A84"/>
    <w:rPr>
      <w:b/>
      <w:bCs/>
    </w:rPr>
  </w:style>
  <w:style w:type="character" w:customStyle="1" w:styleId="UnresolvedMention1">
    <w:name w:val="Unresolved Mention1"/>
    <w:basedOn w:val="DefaultParagraphFont"/>
    <w:rsid w:val="00B91539"/>
    <w:rPr>
      <w:color w:val="605E5C"/>
      <w:shd w:val="clear" w:color="auto" w:fill="E1DFDD"/>
    </w:rPr>
  </w:style>
  <w:style w:type="character" w:customStyle="1" w:styleId="UnresolvedMention2">
    <w:name w:val="Unresolved Mention2"/>
    <w:basedOn w:val="DefaultParagraphFont"/>
    <w:uiPriority w:val="99"/>
    <w:semiHidden/>
    <w:unhideWhenUsed/>
    <w:rsid w:val="00C70495"/>
    <w:rPr>
      <w:color w:val="605E5C"/>
      <w:shd w:val="clear" w:color="auto" w:fill="E1DFDD"/>
    </w:rPr>
  </w:style>
  <w:style w:type="character" w:customStyle="1" w:styleId="UnresolvedMention3">
    <w:name w:val="Unresolved Mention3"/>
    <w:basedOn w:val="DefaultParagraphFont"/>
    <w:uiPriority w:val="99"/>
    <w:semiHidden/>
    <w:unhideWhenUsed/>
    <w:rsid w:val="0007308C"/>
    <w:rPr>
      <w:color w:val="605E5C"/>
      <w:shd w:val="clear" w:color="auto" w:fill="E1DFDD"/>
    </w:rPr>
  </w:style>
  <w:style w:type="paragraph" w:styleId="ListParagraph">
    <w:name w:val="List Paragraph"/>
    <w:basedOn w:val="Normal"/>
    <w:uiPriority w:val="72"/>
    <w:rsid w:val="005D0DBA"/>
    <w:pPr>
      <w:ind w:left="720"/>
      <w:contextualSpacing/>
    </w:pPr>
  </w:style>
  <w:style w:type="character" w:customStyle="1" w:styleId="UnresolvedMention4">
    <w:name w:val="Unresolved Mention4"/>
    <w:basedOn w:val="DefaultParagraphFont"/>
    <w:rsid w:val="00360124"/>
    <w:rPr>
      <w:color w:val="605E5C"/>
      <w:shd w:val="clear" w:color="auto" w:fill="E1DFDD"/>
    </w:rPr>
  </w:style>
  <w:style w:type="paragraph" w:customStyle="1" w:styleId="p1">
    <w:name w:val="p1"/>
    <w:basedOn w:val="Normal"/>
    <w:rsid w:val="00CD4E36"/>
    <w:pPr>
      <w:spacing w:before="100" w:beforeAutospacing="1" w:after="100" w:afterAutospacing="1"/>
    </w:pPr>
  </w:style>
  <w:style w:type="character" w:customStyle="1" w:styleId="UnresolvedMention5">
    <w:name w:val="Unresolved Mention5"/>
    <w:basedOn w:val="DefaultParagraphFont"/>
    <w:uiPriority w:val="99"/>
    <w:semiHidden/>
    <w:unhideWhenUsed/>
    <w:rsid w:val="00D7685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5513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urq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m2theagency.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jpeg"/><Relationship Id="rId11" Type="http://schemas.openxmlformats.org/officeDocument/2006/relationships/hyperlink" Target="https://www.nextlevelvc.com/" TargetMode="External"/><Relationship Id="rId5" Type="http://schemas.openxmlformats.org/officeDocument/2006/relationships/image" Target="media/image1.jpeg"/><Relationship Id="rId10" Type="http://schemas.openxmlformats.org/officeDocument/2006/relationships/hyperlink" Target="https://membersdevelopment.com/" TargetMode="External"/><Relationship Id="rId4" Type="http://schemas.openxmlformats.org/officeDocument/2006/relationships/webSettings" Target="webSettings.xml"/><Relationship Id="rId9" Type="http://schemas.openxmlformats.org/officeDocument/2006/relationships/hyperlink" Target="https://membersdevelopme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d5zRnJVTb7KjiZHXKzmWpQuc3w==">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TDECU PR</dc:creator>
  <cp:lastModifiedBy>Merideth Miller</cp:lastModifiedBy>
  <cp:revision>6</cp:revision>
  <dcterms:created xsi:type="dcterms:W3CDTF">2021-03-31T21:36:00Z</dcterms:created>
  <dcterms:modified xsi:type="dcterms:W3CDTF">2021-03-31T23:03:00Z</dcterms:modified>
</cp:coreProperties>
</file>