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1216C" w14:textId="5059ADF4" w:rsidR="00370168" w:rsidRDefault="00370168"/>
    <w:p w14:paraId="3285B99D" w14:textId="221FFF9D" w:rsidR="00CF7AE0" w:rsidRPr="00277333" w:rsidRDefault="00CF7AE0" w:rsidP="00CF7AE0">
      <w:pPr>
        <w:rPr>
          <w:rFonts w:asciiTheme="majorHAnsi" w:hAnsiTheme="majorHAnsi" w:cstheme="majorHAnsi"/>
          <w:b/>
          <w:bCs/>
        </w:rPr>
      </w:pPr>
      <w:r w:rsidRPr="00277333">
        <w:rPr>
          <w:rFonts w:asciiTheme="majorHAnsi" w:hAnsiTheme="majorHAnsi" w:cstheme="majorHAnsi"/>
          <w:b/>
          <w:bCs/>
          <w:u w:val="single"/>
        </w:rPr>
        <w:t>For Immediate Release:</w:t>
      </w:r>
      <w:r w:rsidRPr="00277333">
        <w:rPr>
          <w:rFonts w:asciiTheme="majorHAnsi" w:hAnsiTheme="majorHAnsi" w:cstheme="majorHAnsi"/>
          <w:b/>
          <w:bCs/>
        </w:rPr>
        <w:t xml:space="preserve"> </w:t>
      </w:r>
      <w:r w:rsidR="0042553E">
        <w:rPr>
          <w:rFonts w:asciiTheme="majorHAnsi" w:hAnsiTheme="majorHAnsi" w:cstheme="majorHAnsi"/>
          <w:b/>
          <w:bCs/>
        </w:rPr>
        <w:t>Friday, February 25, 2022</w:t>
      </w:r>
      <w:r w:rsidRPr="00277333">
        <w:rPr>
          <w:rFonts w:asciiTheme="majorHAnsi" w:hAnsiTheme="majorHAnsi" w:cstheme="majorHAnsi"/>
          <w:b/>
          <w:bCs/>
        </w:rPr>
        <w:br/>
      </w:r>
      <w:r w:rsidRPr="00277333">
        <w:rPr>
          <w:rFonts w:asciiTheme="majorHAnsi" w:hAnsiTheme="majorHAnsi" w:cstheme="majorHAnsi"/>
          <w:b/>
          <w:bCs/>
          <w:u w:val="single"/>
        </w:rPr>
        <w:t>For More Information:</w:t>
      </w:r>
      <w:r w:rsidRPr="00277333">
        <w:rPr>
          <w:rFonts w:asciiTheme="majorHAnsi" w:hAnsiTheme="majorHAnsi" w:cstheme="majorHAnsi"/>
          <w:b/>
          <w:bCs/>
        </w:rPr>
        <w:t xml:space="preserve"> </w:t>
      </w:r>
      <w:r w:rsidRPr="00277333">
        <w:rPr>
          <w:rFonts w:asciiTheme="majorHAnsi" w:hAnsiTheme="majorHAnsi" w:cstheme="majorHAnsi"/>
        </w:rPr>
        <w:t xml:space="preserve">Victoria Taylor, AVP, Marketing, Callahan &amp; Associates, </w:t>
      </w:r>
      <w:hyperlink r:id="rId7" w:history="1">
        <w:r w:rsidRPr="00277333">
          <w:rPr>
            <w:rStyle w:val="Hyperlink"/>
            <w:rFonts w:asciiTheme="majorHAnsi" w:hAnsiTheme="majorHAnsi" w:cstheme="majorHAnsi"/>
          </w:rPr>
          <w:t>vtaylor@callahan.com</w:t>
        </w:r>
      </w:hyperlink>
      <w:r w:rsidRPr="00277333">
        <w:rPr>
          <w:rFonts w:asciiTheme="majorHAnsi" w:hAnsiTheme="majorHAnsi" w:cstheme="majorHAnsi"/>
          <w:b/>
          <w:bCs/>
        </w:rPr>
        <w:t xml:space="preserve"> </w:t>
      </w:r>
    </w:p>
    <w:p w14:paraId="7EDD5FB7" w14:textId="15B8DFBD" w:rsidR="00FB6DF6" w:rsidRPr="00EF0278" w:rsidRDefault="00FB6DF6" w:rsidP="00FB6DF6">
      <w:pPr>
        <w:rPr>
          <w:rFonts w:asciiTheme="majorHAnsi" w:hAnsiTheme="majorHAnsi" w:cstheme="majorHAnsi"/>
          <w:b/>
          <w:bCs/>
          <w:sz w:val="28"/>
          <w:szCs w:val="28"/>
        </w:rPr>
      </w:pPr>
      <w:r w:rsidRPr="00EF0278">
        <w:rPr>
          <w:rFonts w:asciiTheme="majorHAnsi" w:hAnsiTheme="majorHAnsi" w:cstheme="majorHAnsi"/>
          <w:b/>
          <w:bCs/>
          <w:sz w:val="28"/>
          <w:szCs w:val="28"/>
        </w:rPr>
        <w:t>Credit Unions See Record High Member Engagement and Relationships In 4Q21</w:t>
      </w:r>
      <w:r w:rsidR="00B23868">
        <w:rPr>
          <w:rFonts w:asciiTheme="majorHAnsi" w:hAnsiTheme="majorHAnsi" w:cstheme="majorHAnsi"/>
          <w:b/>
          <w:bCs/>
          <w:sz w:val="28"/>
          <w:szCs w:val="28"/>
        </w:rPr>
        <w:t>,</w:t>
      </w:r>
      <w:r w:rsidRPr="00EF0278">
        <w:rPr>
          <w:rFonts w:asciiTheme="majorHAnsi" w:hAnsiTheme="majorHAnsi" w:cstheme="majorHAnsi"/>
          <w:b/>
          <w:bCs/>
          <w:sz w:val="28"/>
          <w:szCs w:val="28"/>
        </w:rPr>
        <w:t xml:space="preserve"> Showing That American Consumers Continue to Choose Cooperatives </w:t>
      </w:r>
      <w:proofErr w:type="gramStart"/>
      <w:r w:rsidRPr="00EF0278">
        <w:rPr>
          <w:rFonts w:asciiTheme="majorHAnsi" w:hAnsiTheme="majorHAnsi" w:cstheme="majorHAnsi"/>
          <w:b/>
          <w:bCs/>
          <w:sz w:val="28"/>
          <w:szCs w:val="28"/>
        </w:rPr>
        <w:t>To</w:t>
      </w:r>
      <w:proofErr w:type="gramEnd"/>
      <w:r w:rsidRPr="00EF0278">
        <w:rPr>
          <w:rFonts w:asciiTheme="majorHAnsi" w:hAnsiTheme="majorHAnsi" w:cstheme="majorHAnsi"/>
          <w:b/>
          <w:bCs/>
          <w:sz w:val="28"/>
          <w:szCs w:val="28"/>
        </w:rPr>
        <w:t xml:space="preserve"> Meet Their Financial Goals</w:t>
      </w:r>
    </w:p>
    <w:p w14:paraId="5924DE86" w14:textId="23EE21E1" w:rsidR="00FB6DF6" w:rsidRPr="00E1151C" w:rsidRDefault="00CF7AE0" w:rsidP="00FB6DF6">
      <w:pPr>
        <w:rPr>
          <w:rFonts w:asciiTheme="majorHAnsi" w:hAnsiTheme="majorHAnsi" w:cstheme="majorHAnsi"/>
          <w:sz w:val="21"/>
          <w:szCs w:val="21"/>
        </w:rPr>
      </w:pPr>
      <w:r w:rsidRPr="00E1151C">
        <w:rPr>
          <w:rFonts w:asciiTheme="majorHAnsi" w:hAnsiTheme="majorHAnsi" w:cstheme="majorHAnsi"/>
          <w:b/>
          <w:bCs/>
          <w:sz w:val="21"/>
          <w:szCs w:val="21"/>
        </w:rPr>
        <w:t xml:space="preserve">WASHINGTON, DC </w:t>
      </w:r>
      <w:r w:rsidR="00C60380" w:rsidRPr="00E1151C">
        <w:rPr>
          <w:rFonts w:asciiTheme="majorHAnsi" w:hAnsiTheme="majorHAnsi" w:cstheme="majorHAnsi"/>
          <w:b/>
          <w:bCs/>
          <w:sz w:val="21"/>
          <w:szCs w:val="21"/>
        </w:rPr>
        <w:t xml:space="preserve">– </w:t>
      </w:r>
      <w:r w:rsidR="00B23868">
        <w:rPr>
          <w:rFonts w:asciiTheme="majorHAnsi" w:hAnsiTheme="majorHAnsi" w:cstheme="majorHAnsi"/>
          <w:sz w:val="21"/>
          <w:szCs w:val="21"/>
        </w:rPr>
        <w:t>More consumers than ever turned to credit unions in 2021</w:t>
      </w:r>
      <w:r w:rsidR="00FB6DF6" w:rsidRPr="00E1151C">
        <w:rPr>
          <w:rFonts w:asciiTheme="majorHAnsi" w:hAnsiTheme="majorHAnsi" w:cstheme="majorHAnsi"/>
          <w:sz w:val="21"/>
          <w:szCs w:val="21"/>
        </w:rPr>
        <w:t xml:space="preserve">. </w:t>
      </w:r>
      <w:r w:rsidR="00B23868">
        <w:rPr>
          <w:rFonts w:asciiTheme="majorHAnsi" w:hAnsiTheme="majorHAnsi" w:cstheme="majorHAnsi"/>
          <w:sz w:val="21"/>
          <w:szCs w:val="21"/>
        </w:rPr>
        <w:t xml:space="preserve">Total industry assets surpassed $2 trillion last year, as </w:t>
      </w:r>
      <w:r w:rsidR="00760567">
        <w:rPr>
          <w:rFonts w:asciiTheme="majorHAnsi" w:hAnsiTheme="majorHAnsi" w:cstheme="majorHAnsi"/>
          <w:sz w:val="21"/>
          <w:szCs w:val="21"/>
        </w:rPr>
        <w:t>over</w:t>
      </w:r>
      <w:r w:rsidR="00B23868">
        <w:rPr>
          <w:rFonts w:asciiTheme="majorHAnsi" w:hAnsiTheme="majorHAnsi" w:cstheme="majorHAnsi"/>
          <w:sz w:val="21"/>
          <w:szCs w:val="21"/>
        </w:rPr>
        <w:t xml:space="preserve"> 5.4 million Americans became new credit union members</w:t>
      </w:r>
      <w:r w:rsidR="00B648B9">
        <w:rPr>
          <w:rFonts w:asciiTheme="majorHAnsi" w:hAnsiTheme="majorHAnsi" w:cstheme="majorHAnsi"/>
          <w:sz w:val="21"/>
          <w:szCs w:val="21"/>
        </w:rPr>
        <w:t xml:space="preserve"> bring</w:t>
      </w:r>
      <w:r w:rsidR="00831899">
        <w:rPr>
          <w:rFonts w:asciiTheme="majorHAnsi" w:hAnsiTheme="majorHAnsi" w:cstheme="majorHAnsi"/>
          <w:sz w:val="21"/>
          <w:szCs w:val="21"/>
        </w:rPr>
        <w:t>ing</w:t>
      </w:r>
      <w:r w:rsidR="00B648B9">
        <w:rPr>
          <w:rFonts w:asciiTheme="majorHAnsi" w:hAnsiTheme="majorHAnsi" w:cstheme="majorHAnsi"/>
          <w:sz w:val="21"/>
          <w:szCs w:val="21"/>
        </w:rPr>
        <w:t xml:space="preserve"> total membership to 131.1 million</w:t>
      </w:r>
      <w:r w:rsidR="00B23868">
        <w:rPr>
          <w:rFonts w:asciiTheme="majorHAnsi" w:hAnsiTheme="majorHAnsi" w:cstheme="majorHAnsi"/>
          <w:sz w:val="21"/>
          <w:szCs w:val="21"/>
        </w:rPr>
        <w:t>. Additionally, the industry</w:t>
      </w:r>
      <w:r w:rsidR="00FB6DF6" w:rsidRPr="00E1151C">
        <w:rPr>
          <w:rFonts w:asciiTheme="majorHAnsi" w:hAnsiTheme="majorHAnsi" w:cstheme="majorHAnsi"/>
          <w:sz w:val="21"/>
          <w:szCs w:val="21"/>
        </w:rPr>
        <w:t xml:space="preserve"> is seeing accelerated growth in key metrics</w:t>
      </w:r>
      <w:r w:rsidR="00B23868">
        <w:rPr>
          <w:rFonts w:asciiTheme="majorHAnsi" w:hAnsiTheme="majorHAnsi" w:cstheme="majorHAnsi"/>
          <w:sz w:val="21"/>
          <w:szCs w:val="21"/>
        </w:rPr>
        <w:t>,</w:t>
      </w:r>
      <w:r w:rsidR="00FB6DF6" w:rsidRPr="00E1151C">
        <w:rPr>
          <w:rFonts w:asciiTheme="majorHAnsi" w:hAnsiTheme="majorHAnsi" w:cstheme="majorHAnsi"/>
          <w:sz w:val="21"/>
          <w:szCs w:val="21"/>
        </w:rPr>
        <w:t xml:space="preserve"> including total members, account penetration, and total member relationship. </w:t>
      </w:r>
    </w:p>
    <w:p w14:paraId="7679A54D" w14:textId="77777777" w:rsidR="00FB6DF6" w:rsidRPr="00E1151C" w:rsidRDefault="00FB6DF6" w:rsidP="00FB6DF6">
      <w:pPr>
        <w:rPr>
          <w:rFonts w:asciiTheme="majorHAnsi" w:hAnsiTheme="majorHAnsi" w:cstheme="majorHAnsi"/>
          <w:sz w:val="21"/>
          <w:szCs w:val="21"/>
        </w:rPr>
      </w:pPr>
      <w:r w:rsidRPr="00E1151C">
        <w:rPr>
          <w:rFonts w:asciiTheme="majorHAnsi" w:hAnsiTheme="majorHAnsi" w:cstheme="majorHAnsi"/>
          <w:sz w:val="21"/>
          <w:szCs w:val="21"/>
        </w:rPr>
        <w:t xml:space="preserve">Callahan &amp; Associates shared industry data from the fourth quarter of 2021 last week during its quarterly </w:t>
      </w:r>
      <w:proofErr w:type="spellStart"/>
      <w:r w:rsidRPr="00E1151C">
        <w:rPr>
          <w:rFonts w:asciiTheme="majorHAnsi" w:hAnsiTheme="majorHAnsi" w:cstheme="majorHAnsi"/>
          <w:sz w:val="21"/>
          <w:szCs w:val="21"/>
        </w:rPr>
        <w:t>Trendwatch</w:t>
      </w:r>
      <w:proofErr w:type="spellEnd"/>
      <w:r w:rsidRPr="00E1151C">
        <w:rPr>
          <w:rFonts w:asciiTheme="majorHAnsi" w:hAnsiTheme="majorHAnsi" w:cstheme="majorHAnsi"/>
          <w:sz w:val="21"/>
          <w:szCs w:val="21"/>
        </w:rPr>
        <w:t xml:space="preserve"> webinar. </w:t>
      </w:r>
    </w:p>
    <w:p w14:paraId="33C76705" w14:textId="1A19B343" w:rsidR="00FB6DF6" w:rsidRDefault="00FB6DF6" w:rsidP="00FB6DF6">
      <w:pPr>
        <w:rPr>
          <w:rFonts w:asciiTheme="majorHAnsi" w:hAnsiTheme="majorHAnsi" w:cstheme="majorHAnsi"/>
          <w:sz w:val="21"/>
          <w:szCs w:val="21"/>
        </w:rPr>
      </w:pPr>
      <w:r w:rsidRPr="00E1151C">
        <w:rPr>
          <w:rFonts w:asciiTheme="majorHAnsi" w:hAnsiTheme="majorHAnsi" w:cstheme="majorHAnsi"/>
          <w:sz w:val="21"/>
          <w:szCs w:val="21"/>
        </w:rPr>
        <w:t xml:space="preserve">“Credit unions are a people-driven business,” Callahan’s </w:t>
      </w:r>
      <w:r w:rsidR="00B23868">
        <w:rPr>
          <w:rFonts w:asciiTheme="majorHAnsi" w:hAnsiTheme="majorHAnsi" w:cstheme="majorHAnsi"/>
          <w:sz w:val="21"/>
          <w:szCs w:val="21"/>
        </w:rPr>
        <w:t>P</w:t>
      </w:r>
      <w:r w:rsidR="00B23868" w:rsidRPr="00E1151C">
        <w:rPr>
          <w:rFonts w:asciiTheme="majorHAnsi" w:hAnsiTheme="majorHAnsi" w:cstheme="majorHAnsi"/>
          <w:sz w:val="21"/>
          <w:szCs w:val="21"/>
        </w:rPr>
        <w:t xml:space="preserve">resident </w:t>
      </w:r>
      <w:r w:rsidRPr="00E1151C">
        <w:rPr>
          <w:rFonts w:asciiTheme="majorHAnsi" w:hAnsiTheme="majorHAnsi" w:cstheme="majorHAnsi"/>
          <w:sz w:val="21"/>
          <w:szCs w:val="21"/>
        </w:rPr>
        <w:t>and CEO, Jon Jeffreys</w:t>
      </w:r>
      <w:r w:rsidR="00B23868">
        <w:rPr>
          <w:rFonts w:asciiTheme="majorHAnsi" w:hAnsiTheme="majorHAnsi" w:cstheme="majorHAnsi"/>
          <w:sz w:val="21"/>
          <w:szCs w:val="21"/>
        </w:rPr>
        <w:t>, said</w:t>
      </w:r>
      <w:r w:rsidRPr="00E1151C">
        <w:rPr>
          <w:rFonts w:asciiTheme="majorHAnsi" w:hAnsiTheme="majorHAnsi" w:cstheme="majorHAnsi"/>
          <w:sz w:val="21"/>
          <w:szCs w:val="21"/>
        </w:rPr>
        <w:t xml:space="preserve"> during </w:t>
      </w:r>
      <w:r w:rsidR="00B23868">
        <w:rPr>
          <w:rFonts w:asciiTheme="majorHAnsi" w:hAnsiTheme="majorHAnsi" w:cstheme="majorHAnsi"/>
          <w:sz w:val="21"/>
          <w:szCs w:val="21"/>
        </w:rPr>
        <w:t>the event</w:t>
      </w:r>
      <w:r w:rsidRPr="00E1151C">
        <w:rPr>
          <w:rFonts w:asciiTheme="majorHAnsi" w:hAnsiTheme="majorHAnsi" w:cstheme="majorHAnsi"/>
          <w:sz w:val="21"/>
          <w:szCs w:val="21"/>
        </w:rPr>
        <w:t>. “It’s about the members. That’s what we’re here for. That’s how we measure success.”</w:t>
      </w:r>
    </w:p>
    <w:p w14:paraId="68D82E33" w14:textId="74FED466" w:rsidR="00E1151C" w:rsidRDefault="00E1151C" w:rsidP="00FB6DF6">
      <w:pPr>
        <w:rPr>
          <w:rFonts w:asciiTheme="majorHAnsi" w:hAnsiTheme="majorHAnsi" w:cstheme="majorHAnsi"/>
          <w:sz w:val="21"/>
          <w:szCs w:val="21"/>
        </w:rPr>
      </w:pPr>
      <w:r>
        <w:rPr>
          <w:rFonts w:asciiTheme="majorHAnsi" w:hAnsiTheme="majorHAnsi" w:cstheme="majorHAnsi"/>
          <w:sz w:val="21"/>
          <w:szCs w:val="21"/>
        </w:rPr>
        <w:t xml:space="preserve">Credit unions continue to differentiate themselves with an emphasis on being purpose-driven. More credit unions are taking a value-based banking approach, </w:t>
      </w:r>
      <w:r w:rsidR="00B23868">
        <w:rPr>
          <w:rFonts w:asciiTheme="majorHAnsi" w:hAnsiTheme="majorHAnsi" w:cstheme="majorHAnsi"/>
          <w:sz w:val="21"/>
          <w:szCs w:val="21"/>
        </w:rPr>
        <w:t xml:space="preserve">exemplified </w:t>
      </w:r>
      <w:r>
        <w:rPr>
          <w:rFonts w:asciiTheme="majorHAnsi" w:hAnsiTheme="majorHAnsi" w:cstheme="majorHAnsi"/>
          <w:sz w:val="21"/>
          <w:szCs w:val="21"/>
        </w:rPr>
        <w:t xml:space="preserve">by Clearwater Federal Credit Union ($854M, Missoula, MT) </w:t>
      </w:r>
      <w:r w:rsidR="00B23868">
        <w:rPr>
          <w:rFonts w:asciiTheme="majorHAnsi" w:hAnsiTheme="majorHAnsi" w:cstheme="majorHAnsi"/>
          <w:sz w:val="21"/>
          <w:szCs w:val="21"/>
        </w:rPr>
        <w:t xml:space="preserve">and its president </w:t>
      </w:r>
      <w:r>
        <w:rPr>
          <w:rFonts w:asciiTheme="majorHAnsi" w:hAnsiTheme="majorHAnsi" w:cstheme="majorHAnsi"/>
          <w:sz w:val="21"/>
          <w:szCs w:val="21"/>
        </w:rPr>
        <w:t>and CEO</w:t>
      </w:r>
      <w:r w:rsidR="00B23868">
        <w:rPr>
          <w:rFonts w:asciiTheme="majorHAnsi" w:hAnsiTheme="majorHAnsi" w:cstheme="majorHAnsi"/>
          <w:sz w:val="21"/>
          <w:szCs w:val="21"/>
        </w:rPr>
        <w:t>,</w:t>
      </w:r>
      <w:r>
        <w:rPr>
          <w:rFonts w:asciiTheme="majorHAnsi" w:hAnsiTheme="majorHAnsi" w:cstheme="majorHAnsi"/>
          <w:sz w:val="21"/>
          <w:szCs w:val="21"/>
        </w:rPr>
        <w:t xml:space="preserve"> Jack Lawson. </w:t>
      </w:r>
    </w:p>
    <w:p w14:paraId="3DCC0BEE" w14:textId="619A3CF1" w:rsidR="00E1151C" w:rsidRPr="00E1151C" w:rsidRDefault="00E1151C" w:rsidP="00FB6DF6">
      <w:pPr>
        <w:rPr>
          <w:rFonts w:asciiTheme="majorHAnsi" w:hAnsiTheme="majorHAnsi" w:cstheme="majorHAnsi"/>
          <w:sz w:val="21"/>
          <w:szCs w:val="21"/>
        </w:rPr>
      </w:pPr>
      <w:r>
        <w:rPr>
          <w:rFonts w:asciiTheme="majorHAnsi" w:hAnsiTheme="majorHAnsi" w:cstheme="majorHAnsi"/>
          <w:sz w:val="21"/>
          <w:szCs w:val="21"/>
        </w:rPr>
        <w:t xml:space="preserve">“This is how credit unions differentiate themselves,” said Lawson during </w:t>
      </w:r>
      <w:proofErr w:type="spellStart"/>
      <w:r>
        <w:rPr>
          <w:rFonts w:asciiTheme="majorHAnsi" w:hAnsiTheme="majorHAnsi" w:cstheme="majorHAnsi"/>
          <w:sz w:val="21"/>
          <w:szCs w:val="21"/>
        </w:rPr>
        <w:t>Trendwatch</w:t>
      </w:r>
      <w:proofErr w:type="spellEnd"/>
      <w:r>
        <w:rPr>
          <w:rFonts w:asciiTheme="majorHAnsi" w:hAnsiTheme="majorHAnsi" w:cstheme="majorHAnsi"/>
          <w:sz w:val="21"/>
          <w:szCs w:val="21"/>
        </w:rPr>
        <w:t>. “This is how we get people to stand up and take notice. It’s about members. It’s about impact. It’s about helping communities.”</w:t>
      </w:r>
    </w:p>
    <w:p w14:paraId="03C801F6" w14:textId="77777777" w:rsidR="00FB6DF6" w:rsidRPr="00EF0278" w:rsidRDefault="00FB6DF6" w:rsidP="00FB6DF6">
      <w:pPr>
        <w:rPr>
          <w:rFonts w:asciiTheme="majorHAnsi" w:hAnsiTheme="majorHAnsi" w:cstheme="majorHAnsi"/>
          <w:sz w:val="24"/>
          <w:szCs w:val="24"/>
        </w:rPr>
      </w:pPr>
      <w:r w:rsidRPr="00EF0278">
        <w:rPr>
          <w:rFonts w:asciiTheme="majorHAnsi" w:hAnsiTheme="majorHAnsi" w:cstheme="majorHAnsi"/>
          <w:b/>
          <w:bCs/>
          <w:sz w:val="24"/>
          <w:szCs w:val="24"/>
        </w:rPr>
        <w:t xml:space="preserve">American Consumers Turn </w:t>
      </w:r>
      <w:proofErr w:type="gramStart"/>
      <w:r w:rsidRPr="00EF0278">
        <w:rPr>
          <w:rFonts w:asciiTheme="majorHAnsi" w:hAnsiTheme="majorHAnsi" w:cstheme="majorHAnsi"/>
          <w:b/>
          <w:bCs/>
          <w:sz w:val="24"/>
          <w:szCs w:val="24"/>
        </w:rPr>
        <w:t>To</w:t>
      </w:r>
      <w:proofErr w:type="gramEnd"/>
      <w:r w:rsidRPr="00EF0278">
        <w:rPr>
          <w:rFonts w:asciiTheme="majorHAnsi" w:hAnsiTheme="majorHAnsi" w:cstheme="majorHAnsi"/>
          <w:b/>
          <w:bCs/>
          <w:sz w:val="24"/>
          <w:szCs w:val="24"/>
        </w:rPr>
        <w:t xml:space="preserve"> Credit Unions To Reach Their Financial Goals</w:t>
      </w:r>
    </w:p>
    <w:p w14:paraId="2AFFF75C" w14:textId="6F274131" w:rsidR="00FB6DF6" w:rsidRPr="00E1151C" w:rsidRDefault="00FB6DF6" w:rsidP="00FB6DF6">
      <w:pPr>
        <w:rPr>
          <w:rFonts w:asciiTheme="majorHAnsi" w:hAnsiTheme="majorHAnsi" w:cstheme="majorHAnsi"/>
          <w:sz w:val="21"/>
          <w:szCs w:val="21"/>
        </w:rPr>
      </w:pPr>
      <w:r w:rsidRPr="00E1151C">
        <w:rPr>
          <w:rFonts w:asciiTheme="majorHAnsi" w:hAnsiTheme="majorHAnsi" w:cstheme="majorHAnsi"/>
          <w:sz w:val="21"/>
          <w:szCs w:val="21"/>
        </w:rPr>
        <w:t xml:space="preserve">Membership grew 4.3%, annually, to 131.1 million total members as of December 31, 2021. Both average member relationship and share draft penetration </w:t>
      </w:r>
      <w:r w:rsidR="00B23868" w:rsidRPr="00E1151C">
        <w:rPr>
          <w:rFonts w:asciiTheme="majorHAnsi" w:hAnsiTheme="majorHAnsi" w:cstheme="majorHAnsi"/>
          <w:sz w:val="21"/>
          <w:szCs w:val="21"/>
        </w:rPr>
        <w:t>hi</w:t>
      </w:r>
      <w:r w:rsidR="00B23868">
        <w:rPr>
          <w:rFonts w:asciiTheme="majorHAnsi" w:hAnsiTheme="majorHAnsi" w:cstheme="majorHAnsi"/>
          <w:sz w:val="21"/>
          <w:szCs w:val="21"/>
        </w:rPr>
        <w:t>t</w:t>
      </w:r>
      <w:r w:rsidR="00B23868" w:rsidRPr="00E1151C">
        <w:rPr>
          <w:rFonts w:asciiTheme="majorHAnsi" w:hAnsiTheme="majorHAnsi" w:cstheme="majorHAnsi"/>
          <w:sz w:val="21"/>
          <w:szCs w:val="21"/>
        </w:rPr>
        <w:t xml:space="preserve"> </w:t>
      </w:r>
      <w:r w:rsidRPr="00E1151C">
        <w:rPr>
          <w:rFonts w:asciiTheme="majorHAnsi" w:hAnsiTheme="majorHAnsi" w:cstheme="majorHAnsi"/>
          <w:sz w:val="21"/>
          <w:szCs w:val="21"/>
        </w:rPr>
        <w:t xml:space="preserve">record highs at $22,534 per member and 61.2% respectively. </w:t>
      </w:r>
    </w:p>
    <w:p w14:paraId="38C158B8" w14:textId="4FFCE39E" w:rsidR="00FB6DF6" w:rsidRPr="00E1151C" w:rsidRDefault="00FB6DF6" w:rsidP="00FB6DF6">
      <w:pPr>
        <w:rPr>
          <w:rFonts w:asciiTheme="majorHAnsi" w:hAnsiTheme="majorHAnsi" w:cstheme="majorHAnsi"/>
          <w:sz w:val="21"/>
          <w:szCs w:val="21"/>
        </w:rPr>
      </w:pPr>
      <w:r w:rsidRPr="00E1151C">
        <w:rPr>
          <w:rFonts w:asciiTheme="majorHAnsi" w:hAnsiTheme="majorHAnsi" w:cstheme="majorHAnsi"/>
          <w:sz w:val="21"/>
          <w:szCs w:val="21"/>
        </w:rPr>
        <w:t xml:space="preserve">Cooperatives are finally seeing the effects of pandemic-era government stimulus begin to smooth out and find equilibrium. </w:t>
      </w:r>
    </w:p>
    <w:p w14:paraId="5DC9ACAE" w14:textId="6C754B94" w:rsidR="008C39E1" w:rsidRDefault="008C39E1" w:rsidP="00FB6DF6">
      <w:pPr>
        <w:jc w:val="center"/>
        <w:rPr>
          <w:rFonts w:asciiTheme="majorHAnsi" w:hAnsiTheme="majorHAnsi" w:cstheme="majorHAnsi"/>
        </w:rPr>
      </w:pPr>
      <w:r>
        <w:rPr>
          <w:noProof/>
        </w:rPr>
        <w:drawing>
          <wp:inline distT="0" distB="0" distL="0" distR="0" wp14:anchorId="7245A119" wp14:editId="71C43DB2">
            <wp:extent cx="7048500" cy="3070164"/>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8"/>
                    <a:stretch>
                      <a:fillRect/>
                    </a:stretch>
                  </pic:blipFill>
                  <pic:spPr>
                    <a:xfrm>
                      <a:off x="0" y="0"/>
                      <a:ext cx="7064484" cy="3077126"/>
                    </a:xfrm>
                    <a:prstGeom prst="rect">
                      <a:avLst/>
                    </a:prstGeom>
                  </pic:spPr>
                </pic:pic>
              </a:graphicData>
            </a:graphic>
          </wp:inline>
        </w:drawing>
      </w:r>
      <w:r>
        <w:rPr>
          <w:rFonts w:asciiTheme="majorHAnsi" w:hAnsiTheme="majorHAnsi" w:cstheme="majorHAnsi"/>
        </w:rPr>
        <w:br/>
      </w:r>
      <w:r w:rsidRPr="008C39E1">
        <w:rPr>
          <w:rFonts w:asciiTheme="majorHAnsi" w:hAnsiTheme="majorHAnsi" w:cstheme="majorHAnsi"/>
          <w:sz w:val="20"/>
          <w:szCs w:val="20"/>
        </w:rPr>
        <w:t>Data Source: Callahan &amp; Associates</w:t>
      </w:r>
    </w:p>
    <w:p w14:paraId="51E8A4BD" w14:textId="6D0EB324" w:rsidR="008C39E1" w:rsidRPr="00EF0278" w:rsidRDefault="008C39E1" w:rsidP="00EB0FAE">
      <w:pPr>
        <w:rPr>
          <w:rFonts w:asciiTheme="majorHAnsi" w:hAnsiTheme="majorHAnsi" w:cstheme="majorHAnsi"/>
          <w:b/>
          <w:bCs/>
          <w:sz w:val="24"/>
          <w:szCs w:val="24"/>
        </w:rPr>
      </w:pPr>
      <w:r w:rsidRPr="00EF0278">
        <w:rPr>
          <w:rFonts w:asciiTheme="majorHAnsi" w:hAnsiTheme="majorHAnsi" w:cstheme="majorHAnsi"/>
          <w:b/>
          <w:bCs/>
          <w:sz w:val="24"/>
          <w:szCs w:val="24"/>
        </w:rPr>
        <w:t xml:space="preserve">In Another Record Year </w:t>
      </w:r>
      <w:proofErr w:type="gramStart"/>
      <w:r w:rsidRPr="00EF0278">
        <w:rPr>
          <w:rFonts w:asciiTheme="majorHAnsi" w:hAnsiTheme="majorHAnsi" w:cstheme="majorHAnsi"/>
          <w:b/>
          <w:bCs/>
          <w:sz w:val="24"/>
          <w:szCs w:val="24"/>
        </w:rPr>
        <w:t>For</w:t>
      </w:r>
      <w:proofErr w:type="gramEnd"/>
      <w:r w:rsidRPr="00EF0278">
        <w:rPr>
          <w:rFonts w:asciiTheme="majorHAnsi" w:hAnsiTheme="majorHAnsi" w:cstheme="majorHAnsi"/>
          <w:b/>
          <w:bCs/>
          <w:sz w:val="24"/>
          <w:szCs w:val="24"/>
        </w:rPr>
        <w:t xml:space="preserve"> Credit Union Lending, Consumer Lending Leads Origination Growth </w:t>
      </w:r>
    </w:p>
    <w:p w14:paraId="4471E3FF" w14:textId="33B5171D" w:rsidR="00FB6DF6" w:rsidRPr="00E1151C" w:rsidRDefault="00FB6DF6" w:rsidP="00EB0FAE">
      <w:pPr>
        <w:rPr>
          <w:rFonts w:asciiTheme="majorHAnsi" w:hAnsiTheme="majorHAnsi" w:cstheme="majorHAnsi"/>
          <w:sz w:val="21"/>
          <w:szCs w:val="21"/>
        </w:rPr>
      </w:pPr>
      <w:r w:rsidRPr="00E1151C">
        <w:rPr>
          <w:rFonts w:asciiTheme="majorHAnsi" w:hAnsiTheme="majorHAnsi" w:cstheme="majorHAnsi"/>
          <w:sz w:val="21"/>
          <w:szCs w:val="21"/>
        </w:rPr>
        <w:t xml:space="preserve">Credit unions saw growth in all key lending categories. Originations reached a record high, growing 17.2% annually to $795 billion as of December 31. Consumer lending led originations, growing 21.8% annually to </w:t>
      </w:r>
      <w:r w:rsidR="007522BF">
        <w:rPr>
          <w:rFonts w:asciiTheme="majorHAnsi" w:hAnsiTheme="majorHAnsi" w:cstheme="majorHAnsi"/>
          <w:sz w:val="21"/>
          <w:szCs w:val="21"/>
        </w:rPr>
        <w:t>a</w:t>
      </w:r>
      <w:r w:rsidRPr="00E1151C">
        <w:rPr>
          <w:rFonts w:asciiTheme="majorHAnsi" w:hAnsiTheme="majorHAnsi" w:cstheme="majorHAnsi"/>
          <w:sz w:val="21"/>
          <w:szCs w:val="21"/>
        </w:rPr>
        <w:t xml:space="preserve"> total of $386.5 billion. </w:t>
      </w:r>
    </w:p>
    <w:p w14:paraId="09E84BF9" w14:textId="77777777" w:rsidR="00E1151C" w:rsidRDefault="00E1151C" w:rsidP="00EB0FAE">
      <w:pPr>
        <w:rPr>
          <w:rFonts w:asciiTheme="majorHAnsi" w:hAnsiTheme="majorHAnsi" w:cstheme="majorHAnsi"/>
          <w:sz w:val="21"/>
          <w:szCs w:val="21"/>
        </w:rPr>
      </w:pPr>
    </w:p>
    <w:p w14:paraId="2C1AB576" w14:textId="22469199" w:rsidR="00FB6DF6" w:rsidRPr="00E1151C" w:rsidRDefault="005B6749" w:rsidP="00EB0FAE">
      <w:pPr>
        <w:rPr>
          <w:rFonts w:asciiTheme="majorHAnsi" w:hAnsiTheme="majorHAnsi" w:cstheme="majorHAnsi"/>
          <w:sz w:val="21"/>
          <w:szCs w:val="21"/>
        </w:rPr>
      </w:pPr>
      <w:r w:rsidRPr="00E1151C">
        <w:rPr>
          <w:rFonts w:asciiTheme="majorHAnsi" w:hAnsiTheme="majorHAnsi" w:cstheme="majorHAnsi"/>
          <w:sz w:val="21"/>
          <w:szCs w:val="21"/>
        </w:rPr>
        <w:t>Driven</w:t>
      </w:r>
      <w:r w:rsidR="00E1151C">
        <w:rPr>
          <w:rFonts w:asciiTheme="majorHAnsi" w:hAnsiTheme="majorHAnsi" w:cstheme="majorHAnsi"/>
          <w:sz w:val="21"/>
          <w:szCs w:val="21"/>
        </w:rPr>
        <w:t xml:space="preserve"> by rising home prices, f</w:t>
      </w:r>
      <w:r w:rsidR="00FB6DF6" w:rsidRPr="00E1151C">
        <w:rPr>
          <w:rFonts w:asciiTheme="majorHAnsi" w:hAnsiTheme="majorHAnsi" w:cstheme="majorHAnsi"/>
          <w:sz w:val="21"/>
          <w:szCs w:val="21"/>
        </w:rPr>
        <w:t>irst Mortgage</w:t>
      </w:r>
      <w:r w:rsidR="004563C6">
        <w:rPr>
          <w:rFonts w:asciiTheme="majorHAnsi" w:hAnsiTheme="majorHAnsi" w:cstheme="majorHAnsi"/>
          <w:sz w:val="21"/>
          <w:szCs w:val="21"/>
        </w:rPr>
        <w:t xml:space="preserve"> dollar originations</w:t>
      </w:r>
      <w:r w:rsidR="00FB6DF6" w:rsidRPr="00E1151C">
        <w:rPr>
          <w:rFonts w:asciiTheme="majorHAnsi" w:hAnsiTheme="majorHAnsi" w:cstheme="majorHAnsi"/>
          <w:sz w:val="21"/>
          <w:szCs w:val="21"/>
        </w:rPr>
        <w:t xml:space="preserve"> grew 7.5% </w:t>
      </w:r>
      <w:r w:rsidR="004563C6">
        <w:rPr>
          <w:rFonts w:asciiTheme="majorHAnsi" w:hAnsiTheme="majorHAnsi" w:cstheme="majorHAnsi"/>
          <w:sz w:val="21"/>
          <w:szCs w:val="21"/>
        </w:rPr>
        <w:t xml:space="preserve">annually </w:t>
      </w:r>
      <w:r w:rsidR="00FB6DF6" w:rsidRPr="00E1151C">
        <w:rPr>
          <w:rFonts w:asciiTheme="majorHAnsi" w:hAnsiTheme="majorHAnsi" w:cstheme="majorHAnsi"/>
          <w:sz w:val="21"/>
          <w:szCs w:val="21"/>
        </w:rPr>
        <w:t>to 313.7 billion</w:t>
      </w:r>
      <w:r w:rsidR="00E1151C">
        <w:rPr>
          <w:rFonts w:asciiTheme="majorHAnsi" w:hAnsiTheme="majorHAnsi" w:cstheme="majorHAnsi"/>
          <w:sz w:val="21"/>
          <w:szCs w:val="21"/>
        </w:rPr>
        <w:t xml:space="preserve"> </w:t>
      </w:r>
      <w:r w:rsidR="004563C6">
        <w:rPr>
          <w:rFonts w:asciiTheme="majorHAnsi" w:hAnsiTheme="majorHAnsi" w:cstheme="majorHAnsi"/>
          <w:sz w:val="21"/>
          <w:szCs w:val="21"/>
        </w:rPr>
        <w:t>during the year</w:t>
      </w:r>
      <w:r w:rsidR="00E1151C">
        <w:rPr>
          <w:rFonts w:asciiTheme="majorHAnsi" w:hAnsiTheme="majorHAnsi" w:cstheme="majorHAnsi"/>
          <w:sz w:val="21"/>
          <w:szCs w:val="21"/>
        </w:rPr>
        <w:t xml:space="preserve">. </w:t>
      </w:r>
    </w:p>
    <w:p w14:paraId="5D51013B" w14:textId="737EE8CD" w:rsidR="00FB6DF6" w:rsidRDefault="00435A0B" w:rsidP="00EB0FAE">
      <w:pPr>
        <w:rPr>
          <w:noProof/>
        </w:rPr>
      </w:pPr>
      <w:r>
        <w:rPr>
          <w:noProof/>
        </w:rPr>
        <w:drawing>
          <wp:anchor distT="0" distB="0" distL="114300" distR="114300" simplePos="0" relativeHeight="251658240" behindDoc="0" locked="0" layoutInCell="1" allowOverlap="1" wp14:anchorId="66B5F210" wp14:editId="6D84FF64">
            <wp:simplePos x="0" y="0"/>
            <wp:positionH relativeFrom="column">
              <wp:posOffset>0</wp:posOffset>
            </wp:positionH>
            <wp:positionV relativeFrom="paragraph">
              <wp:posOffset>-1270</wp:posOffset>
            </wp:positionV>
            <wp:extent cx="6858000" cy="3091815"/>
            <wp:effectExtent l="0" t="0" r="0" b="0"/>
            <wp:wrapNone/>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3091815"/>
                    </a:xfrm>
                    <a:prstGeom prst="rect">
                      <a:avLst/>
                    </a:prstGeom>
                  </pic:spPr>
                </pic:pic>
              </a:graphicData>
            </a:graphic>
          </wp:anchor>
        </w:drawing>
      </w:r>
    </w:p>
    <w:p w14:paraId="7EB76104" w14:textId="562457AB" w:rsidR="00FB6DF6" w:rsidRDefault="00FB6DF6" w:rsidP="00EB0FAE">
      <w:pPr>
        <w:rPr>
          <w:noProof/>
        </w:rPr>
      </w:pPr>
    </w:p>
    <w:p w14:paraId="337E9B8A" w14:textId="5312CCE9" w:rsidR="00FB6DF6" w:rsidRDefault="00FB6DF6" w:rsidP="00EB0FAE">
      <w:pPr>
        <w:rPr>
          <w:noProof/>
        </w:rPr>
      </w:pPr>
    </w:p>
    <w:p w14:paraId="7C607EB4" w14:textId="7B9AE314" w:rsidR="00FB6DF6" w:rsidRDefault="00FB6DF6" w:rsidP="00EB0FAE">
      <w:pPr>
        <w:rPr>
          <w:noProof/>
        </w:rPr>
      </w:pPr>
    </w:p>
    <w:p w14:paraId="4D4B68B2" w14:textId="321EF522" w:rsidR="00FB6DF6" w:rsidRDefault="00FB6DF6" w:rsidP="00EB0FAE">
      <w:pPr>
        <w:rPr>
          <w:noProof/>
        </w:rPr>
      </w:pPr>
    </w:p>
    <w:p w14:paraId="1D7DC8B7" w14:textId="508C7BEC" w:rsidR="00FB6DF6" w:rsidRDefault="00FB6DF6" w:rsidP="00EB0FAE">
      <w:pPr>
        <w:rPr>
          <w:rFonts w:asciiTheme="majorHAnsi" w:hAnsiTheme="majorHAnsi" w:cstheme="majorHAnsi"/>
        </w:rPr>
      </w:pPr>
    </w:p>
    <w:p w14:paraId="19887C2A" w14:textId="13AEA195" w:rsidR="00FB6DF6" w:rsidRDefault="00FB6DF6" w:rsidP="00EB0FAE">
      <w:pPr>
        <w:rPr>
          <w:rFonts w:asciiTheme="majorHAnsi" w:hAnsiTheme="majorHAnsi" w:cstheme="majorHAnsi"/>
        </w:rPr>
      </w:pPr>
    </w:p>
    <w:p w14:paraId="1AA8CFBC" w14:textId="5092538A" w:rsidR="00FB6DF6" w:rsidRDefault="00FB6DF6" w:rsidP="00EB0FAE">
      <w:pPr>
        <w:rPr>
          <w:rFonts w:asciiTheme="majorHAnsi" w:hAnsiTheme="majorHAnsi" w:cstheme="majorHAnsi"/>
        </w:rPr>
      </w:pPr>
    </w:p>
    <w:p w14:paraId="0A052CE8" w14:textId="039882D2" w:rsidR="00FB6DF6" w:rsidRDefault="00FB6DF6" w:rsidP="00EB0FAE">
      <w:pPr>
        <w:rPr>
          <w:rFonts w:asciiTheme="majorHAnsi" w:hAnsiTheme="majorHAnsi" w:cstheme="majorHAnsi"/>
        </w:rPr>
      </w:pPr>
    </w:p>
    <w:p w14:paraId="0CDF7128" w14:textId="533F3A86" w:rsidR="00FB6DF6" w:rsidRDefault="00FB6DF6" w:rsidP="00EB0FAE">
      <w:pPr>
        <w:rPr>
          <w:rFonts w:asciiTheme="majorHAnsi" w:hAnsiTheme="majorHAnsi" w:cstheme="majorHAnsi"/>
        </w:rPr>
      </w:pPr>
    </w:p>
    <w:p w14:paraId="1A680726" w14:textId="23E6F753" w:rsidR="00FB6DF6" w:rsidRDefault="00FB6DF6" w:rsidP="00EB0FAE">
      <w:pPr>
        <w:rPr>
          <w:rFonts w:asciiTheme="majorHAnsi" w:hAnsiTheme="majorHAnsi" w:cstheme="majorHAnsi"/>
        </w:rPr>
      </w:pPr>
    </w:p>
    <w:p w14:paraId="6EAAFFAB" w14:textId="09DC75C4" w:rsidR="00FB6DF6" w:rsidRDefault="00FB6DF6" w:rsidP="00FB6DF6">
      <w:pPr>
        <w:jc w:val="center"/>
        <w:rPr>
          <w:rFonts w:asciiTheme="majorHAnsi" w:hAnsiTheme="majorHAnsi" w:cstheme="majorHAnsi"/>
        </w:rPr>
      </w:pPr>
      <w:r w:rsidRPr="008C39E1">
        <w:rPr>
          <w:rFonts w:asciiTheme="majorHAnsi" w:hAnsiTheme="majorHAnsi" w:cstheme="majorHAnsi"/>
          <w:sz w:val="20"/>
          <w:szCs w:val="20"/>
        </w:rPr>
        <w:t>Data Source: Callahan &amp; Associates</w:t>
      </w:r>
    </w:p>
    <w:p w14:paraId="5805A734" w14:textId="38BA2417" w:rsidR="004563C6" w:rsidRPr="00E1151C" w:rsidRDefault="00FB6DF6" w:rsidP="00EB0FAE">
      <w:pPr>
        <w:rPr>
          <w:rFonts w:asciiTheme="majorHAnsi" w:hAnsiTheme="majorHAnsi" w:cstheme="majorHAnsi"/>
          <w:sz w:val="21"/>
          <w:szCs w:val="21"/>
        </w:rPr>
      </w:pPr>
      <w:r w:rsidRPr="00E1151C">
        <w:rPr>
          <w:rFonts w:asciiTheme="majorHAnsi" w:hAnsiTheme="majorHAnsi" w:cstheme="majorHAnsi"/>
          <w:sz w:val="21"/>
          <w:szCs w:val="21"/>
        </w:rPr>
        <w:t xml:space="preserve">“On the balance sheet, loan growth </w:t>
      </w:r>
      <w:r w:rsidR="00B648B9">
        <w:rPr>
          <w:rFonts w:asciiTheme="majorHAnsi" w:hAnsiTheme="majorHAnsi" w:cstheme="majorHAnsi"/>
          <w:sz w:val="21"/>
          <w:szCs w:val="21"/>
        </w:rPr>
        <w:t>accelerated</w:t>
      </w:r>
      <w:r w:rsidRPr="00E1151C">
        <w:rPr>
          <w:rFonts w:asciiTheme="majorHAnsi" w:hAnsiTheme="majorHAnsi" w:cstheme="majorHAnsi"/>
          <w:sz w:val="21"/>
          <w:szCs w:val="21"/>
        </w:rPr>
        <w:t xml:space="preserve"> during the year as originations outpace early paydowns,” said Callahan industry analyst, Will Hunt. “</w:t>
      </w:r>
      <w:r w:rsidR="008C39E1" w:rsidRPr="00E1151C">
        <w:rPr>
          <w:rFonts w:asciiTheme="majorHAnsi" w:hAnsiTheme="majorHAnsi" w:cstheme="majorHAnsi"/>
          <w:sz w:val="21"/>
          <w:szCs w:val="21"/>
        </w:rPr>
        <w:t>Excess liquidity is converting into balance sheet loans at a faster rate</w:t>
      </w:r>
      <w:r w:rsidRPr="00E1151C">
        <w:rPr>
          <w:rFonts w:asciiTheme="majorHAnsi" w:hAnsiTheme="majorHAnsi" w:cstheme="majorHAnsi"/>
          <w:sz w:val="21"/>
          <w:szCs w:val="21"/>
        </w:rPr>
        <w:t xml:space="preserve"> than we’ve been seeing and b</w:t>
      </w:r>
      <w:r w:rsidR="008C39E1" w:rsidRPr="00E1151C">
        <w:rPr>
          <w:rFonts w:asciiTheme="majorHAnsi" w:hAnsiTheme="majorHAnsi" w:cstheme="majorHAnsi"/>
          <w:sz w:val="21"/>
          <w:szCs w:val="21"/>
        </w:rPr>
        <w:t xml:space="preserve">orrowing demand is high among </w:t>
      </w:r>
      <w:r w:rsidRPr="00E1151C">
        <w:rPr>
          <w:rFonts w:asciiTheme="majorHAnsi" w:hAnsiTheme="majorHAnsi" w:cstheme="majorHAnsi"/>
          <w:sz w:val="21"/>
          <w:szCs w:val="21"/>
        </w:rPr>
        <w:t>members. Credit unions are there to meet that need.”</w:t>
      </w:r>
      <w:r w:rsidR="008C39E1" w:rsidRPr="00E1151C">
        <w:rPr>
          <w:rFonts w:asciiTheme="majorHAnsi" w:hAnsiTheme="majorHAnsi" w:cstheme="majorHAnsi"/>
          <w:sz w:val="21"/>
          <w:szCs w:val="21"/>
        </w:rPr>
        <w:t xml:space="preserve"> </w:t>
      </w:r>
    </w:p>
    <w:p w14:paraId="4AD1F2C6" w14:textId="454490E5" w:rsidR="00FB6DF6" w:rsidRPr="00EF0278" w:rsidRDefault="005B6749" w:rsidP="00EB0FAE">
      <w:pPr>
        <w:rPr>
          <w:rFonts w:asciiTheme="majorHAnsi" w:hAnsiTheme="majorHAnsi" w:cstheme="majorHAnsi"/>
          <w:b/>
          <w:bCs/>
          <w:sz w:val="24"/>
          <w:szCs w:val="24"/>
        </w:rPr>
      </w:pPr>
      <w:r w:rsidRPr="00EF0278">
        <w:rPr>
          <w:rFonts w:asciiTheme="majorHAnsi" w:hAnsiTheme="majorHAnsi" w:cstheme="majorHAnsi"/>
          <w:b/>
          <w:bCs/>
          <w:sz w:val="24"/>
          <w:szCs w:val="24"/>
        </w:rPr>
        <w:t>Historically High Earnings Can Fund Capitalization</w:t>
      </w:r>
      <w:r w:rsidR="004B0615" w:rsidRPr="00EF0278">
        <w:rPr>
          <w:rFonts w:asciiTheme="majorHAnsi" w:hAnsiTheme="majorHAnsi" w:cstheme="majorHAnsi"/>
          <w:b/>
          <w:bCs/>
          <w:sz w:val="24"/>
          <w:szCs w:val="24"/>
        </w:rPr>
        <w:t xml:space="preserve"> and Member</w:t>
      </w:r>
      <w:r w:rsidR="007522BF">
        <w:rPr>
          <w:rFonts w:asciiTheme="majorHAnsi" w:hAnsiTheme="majorHAnsi" w:cstheme="majorHAnsi"/>
          <w:b/>
          <w:bCs/>
          <w:sz w:val="24"/>
          <w:szCs w:val="24"/>
        </w:rPr>
        <w:t>-</w:t>
      </w:r>
      <w:r w:rsidR="004B0615" w:rsidRPr="00EF0278">
        <w:rPr>
          <w:rFonts w:asciiTheme="majorHAnsi" w:hAnsiTheme="majorHAnsi" w:cstheme="majorHAnsi"/>
          <w:b/>
          <w:bCs/>
          <w:sz w:val="24"/>
          <w:szCs w:val="24"/>
        </w:rPr>
        <w:t xml:space="preserve">Experience Initiatives </w:t>
      </w:r>
    </w:p>
    <w:p w14:paraId="4434918B" w14:textId="4EF5FDB3" w:rsidR="005B6749" w:rsidRPr="00E1151C" w:rsidRDefault="004B0615" w:rsidP="00EB0FAE">
      <w:pPr>
        <w:rPr>
          <w:rFonts w:asciiTheme="majorHAnsi" w:hAnsiTheme="majorHAnsi" w:cstheme="majorHAnsi"/>
          <w:sz w:val="21"/>
          <w:szCs w:val="21"/>
        </w:rPr>
      </w:pPr>
      <w:r w:rsidRPr="00E1151C">
        <w:rPr>
          <w:rFonts w:asciiTheme="majorHAnsi" w:hAnsiTheme="majorHAnsi" w:cstheme="majorHAnsi"/>
          <w:sz w:val="21"/>
          <w:szCs w:val="21"/>
        </w:rPr>
        <w:t>Capitalization continued to be a hot topic for credit union leaders, given the new regulatory requirements from the NCUA. Still, the industry at large is well-capitalized, but earnings are historically high</w:t>
      </w:r>
      <w:r w:rsidR="004563C6">
        <w:rPr>
          <w:rFonts w:asciiTheme="majorHAnsi" w:hAnsiTheme="majorHAnsi" w:cstheme="majorHAnsi"/>
          <w:sz w:val="21"/>
          <w:szCs w:val="21"/>
        </w:rPr>
        <w:t xml:space="preserve"> – industry ROA reached 1.06% though 2021</w:t>
      </w:r>
      <w:r w:rsidRPr="00E1151C">
        <w:rPr>
          <w:rFonts w:asciiTheme="majorHAnsi" w:hAnsiTheme="majorHAnsi" w:cstheme="majorHAnsi"/>
          <w:sz w:val="21"/>
          <w:szCs w:val="21"/>
        </w:rPr>
        <w:t>. Total industry net worth continued to grow</w:t>
      </w:r>
      <w:r w:rsidR="004563C6">
        <w:rPr>
          <w:rFonts w:asciiTheme="majorHAnsi" w:hAnsiTheme="majorHAnsi" w:cstheme="majorHAnsi"/>
          <w:sz w:val="21"/>
          <w:szCs w:val="21"/>
        </w:rPr>
        <w:t xml:space="preserve"> as a result</w:t>
      </w:r>
      <w:r w:rsidRPr="00E1151C">
        <w:rPr>
          <w:rFonts w:asciiTheme="majorHAnsi" w:hAnsiTheme="majorHAnsi" w:cstheme="majorHAnsi"/>
          <w:sz w:val="21"/>
          <w:szCs w:val="21"/>
        </w:rPr>
        <w:t xml:space="preserve">; up 11.2% to </w:t>
      </w:r>
      <w:r w:rsidR="004563C6">
        <w:rPr>
          <w:rFonts w:asciiTheme="majorHAnsi" w:hAnsiTheme="majorHAnsi" w:cstheme="majorHAnsi"/>
          <w:sz w:val="21"/>
          <w:szCs w:val="21"/>
        </w:rPr>
        <w:t>21</w:t>
      </w:r>
      <w:r w:rsidRPr="00E1151C">
        <w:rPr>
          <w:rFonts w:asciiTheme="majorHAnsi" w:hAnsiTheme="majorHAnsi" w:cstheme="majorHAnsi"/>
          <w:sz w:val="21"/>
          <w:szCs w:val="21"/>
        </w:rPr>
        <w:t>4.1 billion at the end of 2021. The aggregate credit union net worth ratio remained healthy at 10.3% of assets.</w:t>
      </w:r>
    </w:p>
    <w:p w14:paraId="68CF6771" w14:textId="77777777" w:rsidR="00E1151C" w:rsidRPr="00E1151C" w:rsidRDefault="001D71C6" w:rsidP="00EB0FAE">
      <w:pPr>
        <w:rPr>
          <w:rFonts w:asciiTheme="majorHAnsi" w:hAnsiTheme="majorHAnsi" w:cstheme="majorHAnsi"/>
          <w:sz w:val="21"/>
          <w:szCs w:val="21"/>
        </w:rPr>
      </w:pPr>
      <w:r w:rsidRPr="00E1151C">
        <w:rPr>
          <w:rFonts w:asciiTheme="majorHAnsi" w:hAnsiTheme="majorHAnsi" w:cstheme="majorHAnsi"/>
          <w:sz w:val="21"/>
          <w:szCs w:val="21"/>
        </w:rPr>
        <w:t xml:space="preserve">The upcoming changes pose a potential confounding factor. Many credit unions might opt to hold onto excess capital, at least during the transitionary period between the old and new reporting standards. </w:t>
      </w:r>
    </w:p>
    <w:p w14:paraId="3E22E0F1" w14:textId="77777777" w:rsidR="00E1151C" w:rsidRPr="00E1151C" w:rsidRDefault="00E1151C" w:rsidP="00EB0FAE">
      <w:pPr>
        <w:rPr>
          <w:rFonts w:asciiTheme="majorHAnsi" w:hAnsiTheme="majorHAnsi" w:cstheme="majorHAnsi"/>
          <w:sz w:val="21"/>
          <w:szCs w:val="21"/>
        </w:rPr>
      </w:pPr>
      <w:r w:rsidRPr="00E1151C">
        <w:rPr>
          <w:rFonts w:asciiTheme="majorHAnsi" w:hAnsiTheme="majorHAnsi" w:cstheme="majorHAnsi"/>
          <w:sz w:val="21"/>
          <w:szCs w:val="21"/>
        </w:rPr>
        <w:t>“</w:t>
      </w:r>
      <w:r w:rsidR="001D71C6" w:rsidRPr="00E1151C">
        <w:rPr>
          <w:rFonts w:asciiTheme="majorHAnsi" w:hAnsiTheme="majorHAnsi" w:cstheme="majorHAnsi"/>
          <w:sz w:val="21"/>
          <w:szCs w:val="21"/>
        </w:rPr>
        <w:t>It will be up to credit union leaders to balance their capital usage effectively across their obligations to both their regulators and their member-owners</w:t>
      </w:r>
      <w:r w:rsidRPr="00E1151C">
        <w:rPr>
          <w:rFonts w:asciiTheme="majorHAnsi" w:hAnsiTheme="majorHAnsi" w:cstheme="majorHAnsi"/>
          <w:sz w:val="21"/>
          <w:szCs w:val="21"/>
        </w:rPr>
        <w:t xml:space="preserve">,” said Hunt. </w:t>
      </w:r>
      <w:r w:rsidR="001D71C6" w:rsidRPr="00E1151C">
        <w:rPr>
          <w:rFonts w:asciiTheme="majorHAnsi" w:hAnsiTheme="majorHAnsi" w:cstheme="majorHAnsi"/>
          <w:sz w:val="21"/>
          <w:szCs w:val="21"/>
        </w:rPr>
        <w:t>“The ongoing question is how are credit unions going to utilize these earnings to further support members while also balancing regulatory capitalization requirements</w:t>
      </w:r>
      <w:r w:rsidRPr="00E1151C">
        <w:rPr>
          <w:rFonts w:asciiTheme="majorHAnsi" w:hAnsiTheme="majorHAnsi" w:cstheme="majorHAnsi"/>
          <w:sz w:val="21"/>
          <w:szCs w:val="21"/>
        </w:rPr>
        <w:t>.”</w:t>
      </w:r>
    </w:p>
    <w:p w14:paraId="6086787F" w14:textId="77777777" w:rsidR="00E1151C" w:rsidRPr="00E1151C" w:rsidRDefault="00E1151C" w:rsidP="00EB0FAE">
      <w:pPr>
        <w:rPr>
          <w:rFonts w:asciiTheme="majorHAnsi" w:hAnsiTheme="majorHAnsi" w:cstheme="majorHAnsi"/>
          <w:sz w:val="21"/>
          <w:szCs w:val="21"/>
        </w:rPr>
      </w:pPr>
      <w:r w:rsidRPr="00E1151C">
        <w:rPr>
          <w:rFonts w:asciiTheme="majorHAnsi" w:hAnsiTheme="majorHAnsi" w:cstheme="majorHAnsi"/>
          <w:sz w:val="21"/>
          <w:szCs w:val="21"/>
        </w:rPr>
        <w:t xml:space="preserve">For more industry data, read Callahan’s </w:t>
      </w:r>
      <w:hyperlink r:id="rId10" w:history="1">
        <w:r w:rsidRPr="00E1151C">
          <w:rPr>
            <w:rStyle w:val="Hyperlink"/>
            <w:rFonts w:asciiTheme="majorHAnsi" w:hAnsiTheme="majorHAnsi" w:cstheme="majorHAnsi"/>
            <w:i/>
            <w:iCs/>
            <w:sz w:val="21"/>
            <w:szCs w:val="21"/>
          </w:rPr>
          <w:t xml:space="preserve">5 Takeaways From </w:t>
        </w:r>
        <w:proofErr w:type="spellStart"/>
        <w:r w:rsidRPr="00E1151C">
          <w:rPr>
            <w:rStyle w:val="Hyperlink"/>
            <w:rFonts w:asciiTheme="majorHAnsi" w:hAnsiTheme="majorHAnsi" w:cstheme="majorHAnsi"/>
            <w:i/>
            <w:iCs/>
            <w:sz w:val="21"/>
            <w:szCs w:val="21"/>
          </w:rPr>
          <w:t>Trendwatch</w:t>
        </w:r>
        <w:proofErr w:type="spellEnd"/>
      </w:hyperlink>
      <w:r w:rsidRPr="00E1151C">
        <w:rPr>
          <w:rFonts w:asciiTheme="majorHAnsi" w:hAnsiTheme="majorHAnsi" w:cstheme="majorHAnsi"/>
          <w:sz w:val="21"/>
          <w:szCs w:val="21"/>
        </w:rPr>
        <w:t xml:space="preserve"> or watch the webinar recording on </w:t>
      </w:r>
      <w:hyperlink r:id="rId11" w:history="1">
        <w:r w:rsidRPr="00E1151C">
          <w:rPr>
            <w:rStyle w:val="Hyperlink"/>
            <w:rFonts w:asciiTheme="majorHAnsi" w:hAnsiTheme="majorHAnsi" w:cstheme="majorHAnsi"/>
            <w:sz w:val="21"/>
            <w:szCs w:val="21"/>
          </w:rPr>
          <w:t>CreditUnions.com</w:t>
        </w:r>
      </w:hyperlink>
      <w:r w:rsidRPr="00E1151C">
        <w:rPr>
          <w:rFonts w:asciiTheme="majorHAnsi" w:hAnsiTheme="majorHAnsi" w:cstheme="majorHAnsi"/>
          <w:sz w:val="21"/>
          <w:szCs w:val="21"/>
        </w:rPr>
        <w:t xml:space="preserve">. </w:t>
      </w:r>
    </w:p>
    <w:p w14:paraId="49BF3C68" w14:textId="0F69AC28" w:rsidR="001D71C6" w:rsidRPr="00E1151C" w:rsidRDefault="00E1151C" w:rsidP="00EB0FAE">
      <w:pPr>
        <w:rPr>
          <w:rFonts w:asciiTheme="majorHAnsi" w:hAnsiTheme="majorHAnsi" w:cstheme="majorHAnsi"/>
          <w:sz w:val="21"/>
          <w:szCs w:val="21"/>
        </w:rPr>
      </w:pPr>
      <w:r w:rsidRPr="00E1151C">
        <w:rPr>
          <w:rFonts w:asciiTheme="majorHAnsi" w:hAnsiTheme="majorHAnsi" w:cstheme="majorHAnsi"/>
          <w:sz w:val="21"/>
          <w:szCs w:val="21"/>
        </w:rPr>
        <w:t xml:space="preserve">Callahan credit union clients can access industry data via Peer-to-Peer, </w:t>
      </w:r>
      <w:proofErr w:type="spellStart"/>
      <w:r w:rsidRPr="00E1151C">
        <w:rPr>
          <w:rFonts w:asciiTheme="majorHAnsi" w:hAnsiTheme="majorHAnsi" w:cstheme="majorHAnsi"/>
          <w:sz w:val="21"/>
          <w:szCs w:val="21"/>
        </w:rPr>
        <w:t>CUAnalyzer</w:t>
      </w:r>
      <w:proofErr w:type="spellEnd"/>
      <w:r w:rsidRPr="00E1151C">
        <w:rPr>
          <w:rFonts w:asciiTheme="majorHAnsi" w:hAnsiTheme="majorHAnsi" w:cstheme="majorHAnsi"/>
          <w:sz w:val="21"/>
          <w:szCs w:val="21"/>
        </w:rPr>
        <w:t xml:space="preserve">, and Peer+ </w:t>
      </w:r>
      <w:hyperlink r:id="rId12" w:anchor="/login" w:history="1">
        <w:r w:rsidRPr="00E1151C">
          <w:rPr>
            <w:rStyle w:val="Hyperlink"/>
            <w:rFonts w:asciiTheme="majorHAnsi" w:hAnsiTheme="majorHAnsi" w:cstheme="majorHAnsi"/>
            <w:sz w:val="21"/>
            <w:szCs w:val="21"/>
          </w:rPr>
          <w:t>on their client portal.</w:t>
        </w:r>
      </w:hyperlink>
      <w:r w:rsidRPr="00E1151C">
        <w:rPr>
          <w:rFonts w:asciiTheme="majorHAnsi" w:hAnsiTheme="majorHAnsi" w:cstheme="majorHAnsi"/>
          <w:sz w:val="21"/>
          <w:szCs w:val="21"/>
        </w:rPr>
        <w:t xml:space="preserve"> Non-clients can request a </w:t>
      </w:r>
      <w:hyperlink r:id="rId13" w:history="1">
        <w:r w:rsidRPr="00E1151C">
          <w:rPr>
            <w:rStyle w:val="Hyperlink"/>
            <w:rFonts w:asciiTheme="majorHAnsi" w:hAnsiTheme="majorHAnsi" w:cstheme="majorHAnsi"/>
            <w:sz w:val="21"/>
            <w:szCs w:val="21"/>
          </w:rPr>
          <w:t>custom data scorecard here</w:t>
        </w:r>
      </w:hyperlink>
      <w:r w:rsidRPr="00E1151C">
        <w:rPr>
          <w:rFonts w:asciiTheme="majorHAnsi" w:hAnsiTheme="majorHAnsi" w:cstheme="majorHAnsi"/>
          <w:sz w:val="21"/>
          <w:szCs w:val="21"/>
        </w:rPr>
        <w:t xml:space="preserve">. </w:t>
      </w:r>
      <w:r w:rsidR="001D71C6" w:rsidRPr="00E1151C">
        <w:rPr>
          <w:rFonts w:ascii="Arial" w:hAnsi="Arial" w:cs="Arial"/>
          <w:color w:val="000000"/>
          <w:sz w:val="21"/>
          <w:szCs w:val="21"/>
        </w:rPr>
        <w:br/>
      </w:r>
    </w:p>
    <w:p w14:paraId="6BFD5BEB" w14:textId="77777777" w:rsidR="001B719B" w:rsidRPr="001B719B" w:rsidRDefault="001B719B" w:rsidP="001B719B">
      <w:pPr>
        <w:pStyle w:val="Standard"/>
        <w:spacing w:after="0" w:line="240" w:lineRule="auto"/>
        <w:rPr>
          <w:rStyle w:val="Emphasis"/>
          <w:rFonts w:asciiTheme="minorHAnsi" w:hAnsiTheme="minorHAnsi" w:cs="Arial"/>
          <w:b/>
          <w:i w:val="0"/>
          <w:iCs w:val="0"/>
          <w:color w:val="000000"/>
          <w:sz w:val="20"/>
          <w:szCs w:val="20"/>
        </w:rPr>
      </w:pPr>
      <w:r w:rsidRPr="001B719B">
        <w:rPr>
          <w:rStyle w:val="Emphasis"/>
          <w:rFonts w:asciiTheme="minorHAnsi" w:hAnsiTheme="minorHAnsi" w:cs="Arial"/>
          <w:b/>
          <w:i w:val="0"/>
          <w:iCs w:val="0"/>
          <w:color w:val="000000"/>
          <w:sz w:val="18"/>
          <w:szCs w:val="18"/>
        </w:rPr>
        <w:t>About Callahan &amp; Associates</w:t>
      </w:r>
    </w:p>
    <w:p w14:paraId="1B7354B7" w14:textId="456357AD" w:rsidR="00CF7AE0" w:rsidRDefault="001B719B">
      <w:r w:rsidRPr="008006C2">
        <w:rPr>
          <w:rFonts w:cstheme="minorHAnsi"/>
          <w:i/>
          <w:iCs/>
          <w:color w:val="333333"/>
          <w:sz w:val="18"/>
          <w:szCs w:val="18"/>
        </w:rPr>
        <w:t>For more than 3</w:t>
      </w:r>
      <w:r>
        <w:rPr>
          <w:rFonts w:cstheme="minorHAnsi"/>
          <w:i/>
          <w:iCs/>
          <w:color w:val="333333"/>
          <w:sz w:val="18"/>
          <w:szCs w:val="18"/>
        </w:rPr>
        <w:t>5</w:t>
      </w:r>
      <w:r w:rsidRPr="008006C2">
        <w:rPr>
          <w:rFonts w:cstheme="minorHAnsi"/>
          <w:i/>
          <w:iCs/>
          <w:color w:val="333333"/>
          <w:sz w:val="18"/>
          <w:szCs w:val="18"/>
        </w:rPr>
        <w:t xml:space="preserve"> years, Callahan &amp; Associates has helped credit union leaders identify strategic growth opportunities that increase member value. We create meaningful dialogue, connect people, provide counsel, and help organizations thrive through our competitive analytics, best-practice media, leadership consulting, and collaborative ventures. </w:t>
      </w:r>
      <w:r w:rsidRPr="008006C2">
        <w:rPr>
          <w:rFonts w:cstheme="minorHAnsi"/>
          <w:i/>
          <w:iCs/>
          <w:sz w:val="18"/>
          <w:szCs w:val="18"/>
        </w:rPr>
        <w:t xml:space="preserve">Our clients grow assets, members, shares, and loans faster than industry averages. </w:t>
      </w:r>
      <w:r w:rsidRPr="008006C2">
        <w:rPr>
          <w:rFonts w:cstheme="minorHAnsi"/>
          <w:bCs/>
          <w:i/>
          <w:iCs/>
          <w:color w:val="333333"/>
          <w:sz w:val="18"/>
          <w:szCs w:val="18"/>
        </w:rPr>
        <w:t xml:space="preserve">Learn more at </w:t>
      </w:r>
      <w:hyperlink r:id="rId14" w:history="1">
        <w:r w:rsidRPr="008006C2">
          <w:rPr>
            <w:rStyle w:val="Hyperlink"/>
            <w:rFonts w:cstheme="minorHAnsi"/>
            <w:bCs/>
            <w:i/>
            <w:iCs/>
            <w:sz w:val="18"/>
            <w:szCs w:val="18"/>
          </w:rPr>
          <w:t>www.callahan.com</w:t>
        </w:r>
      </w:hyperlink>
      <w:r w:rsidRPr="008006C2">
        <w:rPr>
          <w:rFonts w:cstheme="minorHAnsi"/>
          <w:bCs/>
          <w:i/>
          <w:iCs/>
          <w:color w:val="333333"/>
          <w:sz w:val="18"/>
          <w:szCs w:val="18"/>
        </w:rPr>
        <w:t>.</w:t>
      </w:r>
    </w:p>
    <w:sectPr w:rsidR="00CF7AE0" w:rsidSect="00FB6DF6">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1819E" w14:textId="77777777" w:rsidR="00D90197" w:rsidRDefault="00D90197" w:rsidP="00CF7AE0">
      <w:pPr>
        <w:spacing w:after="0" w:line="240" w:lineRule="auto"/>
      </w:pPr>
      <w:r>
        <w:separator/>
      </w:r>
    </w:p>
  </w:endnote>
  <w:endnote w:type="continuationSeparator" w:id="0">
    <w:p w14:paraId="2B94E54F" w14:textId="77777777" w:rsidR="00D90197" w:rsidRDefault="00D90197" w:rsidP="00CF7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BC8D8" w14:textId="77777777" w:rsidR="00D90197" w:rsidRDefault="00D90197" w:rsidP="00CF7AE0">
      <w:pPr>
        <w:spacing w:after="0" w:line="240" w:lineRule="auto"/>
      </w:pPr>
      <w:r>
        <w:separator/>
      </w:r>
    </w:p>
  </w:footnote>
  <w:footnote w:type="continuationSeparator" w:id="0">
    <w:p w14:paraId="756DD38E" w14:textId="77777777" w:rsidR="00D90197" w:rsidRDefault="00D90197" w:rsidP="00CF7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4B4FE" w14:textId="47614BBD" w:rsidR="00CF7AE0" w:rsidRDefault="00CF7AE0">
    <w:pPr>
      <w:pStyle w:val="Header"/>
    </w:pPr>
    <w:r>
      <w:rPr>
        <w:noProof/>
      </w:rPr>
      <w:drawing>
        <wp:anchor distT="0" distB="0" distL="114300" distR="114300" simplePos="0" relativeHeight="251659264" behindDoc="0" locked="0" layoutInCell="1" allowOverlap="1" wp14:anchorId="7AA37C81" wp14:editId="36541692">
          <wp:simplePos x="0" y="0"/>
          <wp:positionH relativeFrom="column">
            <wp:posOffset>-123825</wp:posOffset>
          </wp:positionH>
          <wp:positionV relativeFrom="paragraph">
            <wp:posOffset>-304800</wp:posOffset>
          </wp:positionV>
          <wp:extent cx="1905000" cy="509905"/>
          <wp:effectExtent l="0" t="0" r="0" b="4445"/>
          <wp:wrapSquare wrapText="bothSides"/>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5099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F6FCC"/>
    <w:multiLevelType w:val="hybridMultilevel"/>
    <w:tmpl w:val="82D6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AE0"/>
    <w:rsid w:val="00115385"/>
    <w:rsid w:val="00121C6A"/>
    <w:rsid w:val="001B719B"/>
    <w:rsid w:val="001D71C6"/>
    <w:rsid w:val="001F5EC8"/>
    <w:rsid w:val="003427E6"/>
    <w:rsid w:val="00370168"/>
    <w:rsid w:val="004026CA"/>
    <w:rsid w:val="0042553E"/>
    <w:rsid w:val="00435A0B"/>
    <w:rsid w:val="004563C6"/>
    <w:rsid w:val="00467269"/>
    <w:rsid w:val="004B0615"/>
    <w:rsid w:val="005656D3"/>
    <w:rsid w:val="005A699F"/>
    <w:rsid w:val="005B6749"/>
    <w:rsid w:val="005D4C3B"/>
    <w:rsid w:val="007522BF"/>
    <w:rsid w:val="00760567"/>
    <w:rsid w:val="00774656"/>
    <w:rsid w:val="007C6B9F"/>
    <w:rsid w:val="00831899"/>
    <w:rsid w:val="00854AC2"/>
    <w:rsid w:val="008C39E1"/>
    <w:rsid w:val="00AB7197"/>
    <w:rsid w:val="00B23868"/>
    <w:rsid w:val="00B648B9"/>
    <w:rsid w:val="00B721EE"/>
    <w:rsid w:val="00B754B9"/>
    <w:rsid w:val="00C30459"/>
    <w:rsid w:val="00C60380"/>
    <w:rsid w:val="00CB7237"/>
    <w:rsid w:val="00CF7AE0"/>
    <w:rsid w:val="00D53D1E"/>
    <w:rsid w:val="00D90197"/>
    <w:rsid w:val="00DA45F0"/>
    <w:rsid w:val="00DC3BFC"/>
    <w:rsid w:val="00E1151C"/>
    <w:rsid w:val="00E211AB"/>
    <w:rsid w:val="00E36C43"/>
    <w:rsid w:val="00EB0FAE"/>
    <w:rsid w:val="00EF0278"/>
    <w:rsid w:val="00F143B3"/>
    <w:rsid w:val="00F30700"/>
    <w:rsid w:val="00F75503"/>
    <w:rsid w:val="00F92336"/>
    <w:rsid w:val="00FB6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6C4EA"/>
  <w15:chartTrackingRefBased/>
  <w15:docId w15:val="{D05E64B4-0495-466B-8E24-1B7B6AB4A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A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A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AE0"/>
  </w:style>
  <w:style w:type="paragraph" w:styleId="Footer">
    <w:name w:val="footer"/>
    <w:basedOn w:val="Normal"/>
    <w:link w:val="FooterChar"/>
    <w:uiPriority w:val="99"/>
    <w:unhideWhenUsed/>
    <w:rsid w:val="00CF7A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AE0"/>
  </w:style>
  <w:style w:type="character" w:styleId="Hyperlink">
    <w:name w:val="Hyperlink"/>
    <w:basedOn w:val="DefaultParagraphFont"/>
    <w:uiPriority w:val="99"/>
    <w:unhideWhenUsed/>
    <w:rsid w:val="00CF7AE0"/>
    <w:rPr>
      <w:color w:val="0563C1" w:themeColor="hyperlink"/>
      <w:u w:val="single"/>
    </w:rPr>
  </w:style>
  <w:style w:type="paragraph" w:styleId="ListParagraph">
    <w:name w:val="List Paragraph"/>
    <w:basedOn w:val="Normal"/>
    <w:uiPriority w:val="34"/>
    <w:qFormat/>
    <w:rsid w:val="005A699F"/>
    <w:pPr>
      <w:ind w:left="720"/>
      <w:contextualSpacing/>
    </w:pPr>
  </w:style>
  <w:style w:type="character" w:styleId="UnresolvedMention">
    <w:name w:val="Unresolved Mention"/>
    <w:basedOn w:val="DefaultParagraphFont"/>
    <w:uiPriority w:val="99"/>
    <w:semiHidden/>
    <w:unhideWhenUsed/>
    <w:rsid w:val="005A699F"/>
    <w:rPr>
      <w:color w:val="605E5C"/>
      <w:shd w:val="clear" w:color="auto" w:fill="E1DFDD"/>
    </w:rPr>
  </w:style>
  <w:style w:type="character" w:styleId="Emphasis">
    <w:name w:val="Emphasis"/>
    <w:basedOn w:val="DefaultParagraphFont"/>
    <w:uiPriority w:val="20"/>
    <w:qFormat/>
    <w:rsid w:val="001B719B"/>
    <w:rPr>
      <w:i/>
      <w:iCs/>
    </w:rPr>
  </w:style>
  <w:style w:type="paragraph" w:customStyle="1" w:styleId="Standard">
    <w:name w:val="Standard"/>
    <w:rsid w:val="001B719B"/>
    <w:pPr>
      <w:suppressAutoHyphens/>
      <w:autoSpaceDN w:val="0"/>
      <w:spacing w:after="200" w:line="276" w:lineRule="auto"/>
      <w:textAlignment w:val="baseline"/>
    </w:pPr>
    <w:rPr>
      <w:rFonts w:ascii="Calibri" w:eastAsia="SimSun" w:hAnsi="Calibri" w:cs="F"/>
      <w:kern w:val="3"/>
    </w:rPr>
  </w:style>
  <w:style w:type="paragraph" w:styleId="Revision">
    <w:name w:val="Revision"/>
    <w:hidden/>
    <w:uiPriority w:val="99"/>
    <w:semiHidden/>
    <w:rsid w:val="004563C6"/>
    <w:pPr>
      <w:spacing w:after="0" w:line="240" w:lineRule="auto"/>
    </w:pPr>
  </w:style>
  <w:style w:type="character" w:styleId="CommentReference">
    <w:name w:val="annotation reference"/>
    <w:basedOn w:val="DefaultParagraphFont"/>
    <w:uiPriority w:val="99"/>
    <w:semiHidden/>
    <w:unhideWhenUsed/>
    <w:rsid w:val="00E211AB"/>
    <w:rPr>
      <w:sz w:val="16"/>
      <w:szCs w:val="16"/>
    </w:rPr>
  </w:style>
  <w:style w:type="paragraph" w:styleId="CommentText">
    <w:name w:val="annotation text"/>
    <w:basedOn w:val="Normal"/>
    <w:link w:val="CommentTextChar"/>
    <w:uiPriority w:val="99"/>
    <w:semiHidden/>
    <w:unhideWhenUsed/>
    <w:rsid w:val="00E211AB"/>
    <w:pPr>
      <w:spacing w:line="240" w:lineRule="auto"/>
    </w:pPr>
    <w:rPr>
      <w:sz w:val="20"/>
      <w:szCs w:val="20"/>
    </w:rPr>
  </w:style>
  <w:style w:type="character" w:customStyle="1" w:styleId="CommentTextChar">
    <w:name w:val="Comment Text Char"/>
    <w:basedOn w:val="DefaultParagraphFont"/>
    <w:link w:val="CommentText"/>
    <w:uiPriority w:val="99"/>
    <w:semiHidden/>
    <w:rsid w:val="00E211AB"/>
    <w:rPr>
      <w:sz w:val="20"/>
      <w:szCs w:val="20"/>
    </w:rPr>
  </w:style>
  <w:style w:type="paragraph" w:styleId="CommentSubject">
    <w:name w:val="annotation subject"/>
    <w:basedOn w:val="CommentText"/>
    <w:next w:val="CommentText"/>
    <w:link w:val="CommentSubjectChar"/>
    <w:uiPriority w:val="99"/>
    <w:semiHidden/>
    <w:unhideWhenUsed/>
    <w:rsid w:val="00E211AB"/>
    <w:rPr>
      <w:b/>
      <w:bCs/>
    </w:rPr>
  </w:style>
  <w:style w:type="character" w:customStyle="1" w:styleId="CommentSubjectChar">
    <w:name w:val="Comment Subject Char"/>
    <w:basedOn w:val="CommentTextChar"/>
    <w:link w:val="CommentSubject"/>
    <w:uiPriority w:val="99"/>
    <w:semiHidden/>
    <w:rsid w:val="00E211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o.callahan.com/WF-2019-06-03-Custom-Scorecard-Form_LP-Custom-Score-Card-Request.html?rs=Press-Release&amp;cid=Data-Analytics-Custom-Scorecard" TargetMode="External"/><Relationship Id="rId3" Type="http://schemas.openxmlformats.org/officeDocument/2006/relationships/settings" Target="settings.xml"/><Relationship Id="rId7" Type="http://schemas.openxmlformats.org/officeDocument/2006/relationships/hyperlink" Target="mailto:vtaylor@callahan.com" TargetMode="External"/><Relationship Id="rId12" Type="http://schemas.openxmlformats.org/officeDocument/2006/relationships/hyperlink" Target="https://portal.callahan.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ditunions.com/videos/videocontent/4q21-trendwatch/"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creditunions.com/blogs/industry-insights/5-takeaways-from-4q-2021-trendwatch/"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callaha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762</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Taylor</dc:creator>
  <cp:keywords/>
  <dc:description/>
  <cp:lastModifiedBy>Victoria Taylor</cp:lastModifiedBy>
  <cp:revision>4</cp:revision>
  <cp:lastPrinted>2022-02-07T13:44:00Z</cp:lastPrinted>
  <dcterms:created xsi:type="dcterms:W3CDTF">2022-02-25T13:19:00Z</dcterms:created>
  <dcterms:modified xsi:type="dcterms:W3CDTF">2022-02-25T13:21:00Z</dcterms:modified>
</cp:coreProperties>
</file>