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4B86" w14:textId="77777777" w:rsidR="000E65E9" w:rsidRDefault="000E65E9" w:rsidP="007452F0"/>
    <w:p w14:paraId="16F7F884" w14:textId="55EE306F" w:rsidR="007733A6" w:rsidRDefault="000E65E9" w:rsidP="007452F0">
      <w:r>
        <w:rPr>
          <w:noProof/>
        </w:rPr>
        <w:drawing>
          <wp:inline distT="0" distB="0" distL="0" distR="0" wp14:anchorId="2DC4E80B" wp14:editId="682B63EC">
            <wp:extent cx="1819275" cy="909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inline>
        </w:drawing>
      </w:r>
    </w:p>
    <w:p w14:paraId="61368F24" w14:textId="692C4A2C" w:rsidR="0059507A" w:rsidRDefault="0059507A" w:rsidP="5339E179">
      <w:pPr>
        <w:rPr>
          <w:rFonts w:ascii="Helvetica" w:eastAsia="Helvetica" w:hAnsi="Helvetica" w:cs="Helvetica"/>
          <w:szCs w:val="24"/>
        </w:rPr>
      </w:pPr>
    </w:p>
    <w:p w14:paraId="55F938F7" w14:textId="77777777" w:rsidR="00EE7325" w:rsidRPr="00391619" w:rsidRDefault="00EE7325" w:rsidP="00EE7325">
      <w:pPr>
        <w:rPr>
          <w:rFonts w:ascii="Helvetica Neue" w:eastAsia="Calibri" w:hAnsi="Helvetica Neue" w:cs="Calibri"/>
        </w:rPr>
      </w:pPr>
      <w:r w:rsidRPr="00391619">
        <w:rPr>
          <w:rFonts w:ascii="Helvetica Neue" w:eastAsia="Calibri" w:hAnsi="Helvetica Neue" w:cs="Calibri"/>
        </w:rPr>
        <w:t>For more information:</w:t>
      </w:r>
    </w:p>
    <w:p w14:paraId="550B4D65" w14:textId="77777777" w:rsidR="00EE7325" w:rsidRPr="00391619" w:rsidRDefault="00EE7325" w:rsidP="00EE7325">
      <w:pPr>
        <w:pStyle w:val="Heading1"/>
        <w:rPr>
          <w:rFonts w:ascii="Helvetica Neue" w:eastAsia="Calibri" w:hAnsi="Helvetica Neue" w:cs="Calibri"/>
          <w:b w:val="0"/>
          <w:bCs/>
          <w:szCs w:val="24"/>
        </w:rPr>
      </w:pPr>
      <w:r>
        <w:rPr>
          <w:rFonts w:ascii="Helvetica Neue" w:eastAsia="Calibri" w:hAnsi="Helvetica Neue" w:cs="Calibri"/>
          <w:bCs/>
          <w:szCs w:val="24"/>
        </w:rPr>
        <w:t>Colby</w:t>
      </w:r>
      <w:r w:rsidRPr="00391619">
        <w:rPr>
          <w:rFonts w:ascii="Helvetica Neue" w:eastAsia="Calibri" w:hAnsi="Helvetica Neue" w:cs="Calibri"/>
          <w:bCs/>
          <w:szCs w:val="24"/>
        </w:rPr>
        <w:t xml:space="preserve"> </w:t>
      </w:r>
      <w:r>
        <w:rPr>
          <w:rFonts w:ascii="Helvetica Neue" w:eastAsia="Calibri" w:hAnsi="Helvetica Neue" w:cs="Calibri"/>
          <w:bCs/>
          <w:szCs w:val="24"/>
        </w:rPr>
        <w:t>Wilson</w:t>
      </w:r>
    </w:p>
    <w:p w14:paraId="2DA50A96" w14:textId="77777777" w:rsidR="00EE7325" w:rsidRPr="00391619" w:rsidRDefault="00EE7325" w:rsidP="00EE7325">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2F93EFBD" w14:textId="77777777" w:rsidR="00EE7325" w:rsidRPr="00391619" w:rsidRDefault="00EE7325" w:rsidP="00EE7325">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5960F7EE" w14:textId="77777777" w:rsidR="00EE7325" w:rsidRPr="00391619" w:rsidRDefault="00EE7325" w:rsidP="00EE7325">
      <w:pPr>
        <w:rPr>
          <w:rFonts w:ascii="Helvetica Neue" w:eastAsia="Calibri" w:hAnsi="Helvetica Neue" w:cs="Calibri"/>
        </w:rPr>
      </w:pPr>
      <w:r w:rsidRPr="009220FF">
        <w:rPr>
          <w:rFonts w:ascii="Helvetica Neue" w:eastAsia="Calibri" w:hAnsi="Helvetica Neue" w:cs="Calibri"/>
        </w:rPr>
        <w:t>COWilson@ascend.org</w:t>
      </w:r>
    </w:p>
    <w:p w14:paraId="1FFF6F9C" w14:textId="7140974C" w:rsidR="0059507A" w:rsidRDefault="0059507A" w:rsidP="00A10873"/>
    <w:p w14:paraId="32BE9087" w14:textId="77777777" w:rsidR="0040222E" w:rsidRPr="0040222E" w:rsidRDefault="0040222E" w:rsidP="0040222E">
      <w:pPr>
        <w:textAlignment w:val="baseline"/>
        <w:rPr>
          <w:rFonts w:ascii="Segoe UI" w:eastAsia="Times New Roman" w:hAnsi="Segoe UI" w:cs="Segoe UI"/>
          <w:sz w:val="18"/>
          <w:szCs w:val="18"/>
        </w:rPr>
      </w:pPr>
      <w:r w:rsidRPr="0040222E">
        <w:rPr>
          <w:rFonts w:ascii="Helvetica Neue" w:eastAsia="Times New Roman" w:hAnsi="Helvetica Neue" w:cs="Segoe UI"/>
          <w:szCs w:val="24"/>
        </w:rPr>
        <w:t> </w:t>
      </w:r>
    </w:p>
    <w:p w14:paraId="6801E5C4" w14:textId="77777777" w:rsidR="00BD2223" w:rsidRDefault="00BD2223" w:rsidP="00E31ED1">
      <w:pPr>
        <w:jc w:val="center"/>
      </w:pPr>
      <w:r w:rsidRPr="5339E179">
        <w:rPr>
          <w:rFonts w:ascii="Helvetica" w:eastAsia="Helvetica" w:hAnsi="Helvetica" w:cs="Helvetica"/>
          <w:b/>
          <w:bCs/>
          <w:color w:val="B1101A"/>
          <w:sz w:val="28"/>
          <w:szCs w:val="28"/>
        </w:rPr>
        <w:t xml:space="preserve">Ascend Federal Credit Union </w:t>
      </w:r>
      <w:r>
        <w:rPr>
          <w:rFonts w:ascii="Helvetica" w:eastAsia="Helvetica" w:hAnsi="Helvetica" w:cs="Helvetica"/>
          <w:b/>
          <w:bCs/>
          <w:color w:val="B1101A"/>
          <w:sz w:val="28"/>
          <w:szCs w:val="28"/>
        </w:rPr>
        <w:t>Donates $10,000 to Support Health Care Services for Working, Uninsured Patients</w:t>
      </w:r>
    </w:p>
    <w:p w14:paraId="2BD86E9D" w14:textId="77777777" w:rsidR="00BD2223" w:rsidRDefault="00BD2223" w:rsidP="00BD2223">
      <w:r w:rsidRPr="5339E179">
        <w:rPr>
          <w:rFonts w:ascii="Helvetica Neue" w:eastAsia="Helvetica Neue" w:hAnsi="Helvetica Neue" w:cs="Helvetica Neue"/>
          <w:b/>
          <w:bCs/>
          <w:szCs w:val="24"/>
        </w:rPr>
        <w:t xml:space="preserve"> </w:t>
      </w:r>
    </w:p>
    <w:p w14:paraId="291851C8" w14:textId="77777777" w:rsidR="00BD2223" w:rsidRDefault="00BD2223" w:rsidP="00BD2223">
      <w:pPr>
        <w:jc w:val="center"/>
      </w:pPr>
      <w:r>
        <w:rPr>
          <w:rFonts w:ascii="Helvetica" w:eastAsia="Helvetica" w:hAnsi="Helvetica" w:cs="Helvetica"/>
          <w:i/>
          <w:iCs/>
          <w:szCs w:val="24"/>
        </w:rPr>
        <w:t>Contribution to Partners for Healing helps the non-profit provide free primary health care services to people in southern Middle Tennessee</w:t>
      </w:r>
    </w:p>
    <w:p w14:paraId="250629D8" w14:textId="77777777" w:rsidR="00BD2223" w:rsidRDefault="00BD2223" w:rsidP="00BD2223">
      <w:pPr>
        <w:rPr>
          <w:rFonts w:ascii="Helvetica Neue" w:eastAsia="Helvetica Neue" w:hAnsi="Helvetica Neue" w:cs="Helvetica Neue"/>
          <w:b/>
        </w:rPr>
      </w:pPr>
    </w:p>
    <w:p w14:paraId="7880022E" w14:textId="71277C67" w:rsidR="00BD2223" w:rsidRPr="00FF5EA3" w:rsidRDefault="00BD2223" w:rsidP="00BD2223">
      <w:pPr>
        <w:rPr>
          <w:rStyle w:val="normaltextrun"/>
          <w:rFonts w:ascii="Helvetica" w:hAnsi="Helvetica" w:cstheme="majorHAnsi"/>
        </w:rPr>
      </w:pPr>
      <w:r w:rsidRPr="5339E179">
        <w:rPr>
          <w:rFonts w:ascii="Helvetica Neue" w:eastAsia="Helvetica Neue" w:hAnsi="Helvetica Neue" w:cs="Helvetica Neue"/>
          <w:b/>
          <w:bCs/>
        </w:rPr>
        <w:t xml:space="preserve">TULLAHOMA, Tenn. </w:t>
      </w:r>
      <w:r w:rsidRPr="5339E179">
        <w:rPr>
          <w:rFonts w:ascii="Arial" w:eastAsia="Helvetica Neue" w:hAnsi="Arial" w:cs="Arial"/>
          <w:b/>
          <w:bCs/>
        </w:rPr>
        <w:t>–</w:t>
      </w:r>
      <w:r w:rsidRPr="5339E179">
        <w:rPr>
          <w:rFonts w:ascii="Helvetica Neue" w:eastAsia="Helvetica Neue" w:hAnsi="Helvetica Neue" w:cs="Helvetica Neue"/>
          <w:b/>
          <w:bCs/>
        </w:rPr>
        <w:t xml:space="preserve"> </w:t>
      </w:r>
      <w:r>
        <w:rPr>
          <w:rFonts w:ascii="Helvetica Neue" w:eastAsia="Helvetica Neue" w:hAnsi="Helvetica Neue" w:cs="Helvetica Neue"/>
          <w:b/>
          <w:bCs/>
        </w:rPr>
        <w:t>Jan</w:t>
      </w:r>
      <w:r w:rsidRPr="5339E179">
        <w:rPr>
          <w:rFonts w:ascii="Helvetica Neue" w:eastAsia="Helvetica Neue" w:hAnsi="Helvetica Neue" w:cs="Helvetica Neue"/>
          <w:b/>
          <w:bCs/>
        </w:rPr>
        <w:t xml:space="preserve">. </w:t>
      </w:r>
      <w:r w:rsidR="003C2AA7">
        <w:rPr>
          <w:rFonts w:ascii="Helvetica Neue" w:eastAsia="Helvetica Neue" w:hAnsi="Helvetica Neue" w:cs="Helvetica Neue"/>
          <w:b/>
          <w:bCs/>
        </w:rPr>
        <w:t>11</w:t>
      </w:r>
      <w:r w:rsidRPr="5339E179">
        <w:rPr>
          <w:rFonts w:ascii="Helvetica Neue" w:eastAsia="Helvetica Neue" w:hAnsi="Helvetica Neue" w:cs="Helvetica Neue"/>
          <w:b/>
          <w:bCs/>
        </w:rPr>
        <w:t xml:space="preserve">, 2021 </w:t>
      </w:r>
      <w:r w:rsidRPr="5339E179">
        <w:rPr>
          <w:rFonts w:ascii="Arial" w:eastAsia="Helvetica Neue" w:hAnsi="Arial" w:cs="Arial"/>
          <w:b/>
          <w:bCs/>
        </w:rPr>
        <w:t xml:space="preserve">– </w:t>
      </w:r>
      <w:hyperlink r:id="rId6" w:tgtFrame="_blank" w:history="1">
        <w:r w:rsidRPr="00FF5EA3">
          <w:rPr>
            <w:rStyle w:val="normaltextrun"/>
            <w:rFonts w:ascii="Helvetica" w:hAnsi="Helvetica" w:cstheme="majorHAnsi"/>
            <w:color w:val="1155CC"/>
            <w:u w:val="single"/>
          </w:rPr>
          <w:t>Ascend Federal Credit Union</w:t>
        </w:r>
      </w:hyperlink>
      <w:r w:rsidRPr="00FF5EA3">
        <w:rPr>
          <w:rStyle w:val="normaltextrun"/>
          <w:rFonts w:ascii="Helvetica" w:hAnsi="Helvetica" w:cstheme="majorHAnsi"/>
        </w:rPr>
        <w:t> announced today that it has donated $10,000 to </w:t>
      </w:r>
      <w:hyperlink r:id="rId7" w:tgtFrame="_blank" w:history="1">
        <w:r w:rsidRPr="00FF5EA3">
          <w:rPr>
            <w:rStyle w:val="normaltextrun"/>
            <w:rFonts w:ascii="Helvetica" w:hAnsi="Helvetica" w:cstheme="majorHAnsi"/>
            <w:color w:val="0000FF"/>
            <w:u w:val="single"/>
          </w:rPr>
          <w:t>Partners for Healing</w:t>
        </w:r>
      </w:hyperlink>
      <w:r w:rsidRPr="00FF5EA3">
        <w:rPr>
          <w:rStyle w:val="normaltextrun"/>
          <w:rFonts w:ascii="Helvetica" w:hAnsi="Helvetica" w:cstheme="majorHAnsi"/>
        </w:rPr>
        <w:t xml:space="preserve">, a leading non-profit organization headquartered in Tullahoma that provides free primary health care services to the working uninsured. The donation will help </w:t>
      </w:r>
      <w:r>
        <w:rPr>
          <w:rStyle w:val="normaltextrun"/>
          <w:rFonts w:ascii="Helvetica" w:hAnsi="Helvetica" w:cstheme="majorHAnsi"/>
        </w:rPr>
        <w:t>Partners for Healing</w:t>
      </w:r>
      <w:r w:rsidRPr="00FF5EA3">
        <w:rPr>
          <w:rStyle w:val="normaltextrun"/>
          <w:rFonts w:ascii="Helvetica" w:hAnsi="Helvetica" w:cstheme="majorHAnsi"/>
        </w:rPr>
        <w:t xml:space="preserve"> fulfill its mission of serving the health care needs of individuals in Coffee, </w:t>
      </w:r>
      <w:proofErr w:type="gramStart"/>
      <w:r w:rsidRPr="00FF5EA3">
        <w:rPr>
          <w:rStyle w:val="normaltextrun"/>
          <w:rFonts w:ascii="Helvetica" w:hAnsi="Helvetica" w:cstheme="majorHAnsi"/>
        </w:rPr>
        <w:t>Franklin</w:t>
      </w:r>
      <w:proofErr w:type="gramEnd"/>
      <w:r w:rsidRPr="00FF5EA3">
        <w:rPr>
          <w:rStyle w:val="normaltextrun"/>
          <w:rFonts w:ascii="Helvetica" w:hAnsi="Helvetica" w:cstheme="majorHAnsi"/>
        </w:rPr>
        <w:t xml:space="preserve"> and Moore counties. Ascend has supported Partners for Healing since 2013.</w:t>
      </w:r>
    </w:p>
    <w:p w14:paraId="61E0A02F" w14:textId="77777777" w:rsidR="00BD2223" w:rsidRPr="00FF5EA3" w:rsidRDefault="00BD2223" w:rsidP="00BD2223">
      <w:pPr>
        <w:rPr>
          <w:rStyle w:val="normaltextrun"/>
          <w:rFonts w:ascii="Helvetica" w:hAnsi="Helvetica" w:cstheme="majorHAnsi"/>
        </w:rPr>
      </w:pPr>
    </w:p>
    <w:p w14:paraId="016E267C" w14:textId="77777777" w:rsidR="00BD2223" w:rsidRPr="00FF5EA3" w:rsidRDefault="00BD2223" w:rsidP="00BD2223">
      <w:pPr>
        <w:pStyle w:val="paragraph"/>
        <w:spacing w:before="0" w:beforeAutospacing="0" w:after="0" w:afterAutospacing="0"/>
        <w:textAlignment w:val="baseline"/>
        <w:rPr>
          <w:rStyle w:val="eop"/>
          <w:rFonts w:ascii="Helvetica" w:eastAsia="Times" w:hAnsi="Helvetica" w:cstheme="majorHAnsi"/>
        </w:rPr>
      </w:pPr>
      <w:r w:rsidRPr="00FF5EA3">
        <w:rPr>
          <w:rStyle w:val="normaltextrun"/>
          <w:rFonts w:ascii="Helvetica" w:hAnsi="Helvetica" w:cstheme="majorHAnsi"/>
        </w:rPr>
        <w:t xml:space="preserve">“Once again, we are pleased to assist our friends at Partners for Healing,” said Caren Gabriel, Ascend president and CEO. “Without aid from Partners for Healing, </w:t>
      </w:r>
      <w:r>
        <w:rPr>
          <w:rStyle w:val="normaltextrun"/>
          <w:rFonts w:ascii="Helvetica" w:hAnsi="Helvetica" w:cstheme="majorHAnsi"/>
        </w:rPr>
        <w:t>Middle Tennesseans</w:t>
      </w:r>
      <w:r w:rsidRPr="00FF5EA3">
        <w:rPr>
          <w:rStyle w:val="normaltextrun"/>
          <w:rFonts w:ascii="Helvetica" w:hAnsi="Helvetica" w:cstheme="majorHAnsi"/>
        </w:rPr>
        <w:t xml:space="preserve"> who need the most help might otherwise go without treatment</w:t>
      </w:r>
      <w:r>
        <w:rPr>
          <w:rStyle w:val="normaltextrun"/>
          <w:rFonts w:ascii="Helvetica" w:hAnsi="Helvetica" w:cstheme="majorHAnsi"/>
        </w:rPr>
        <w:t xml:space="preserve"> because they can’t afford it</w:t>
      </w:r>
      <w:r w:rsidRPr="00FF5EA3">
        <w:rPr>
          <w:rStyle w:val="normaltextrun"/>
          <w:rFonts w:ascii="Helvetica" w:hAnsi="Helvetica" w:cstheme="majorHAnsi"/>
        </w:rPr>
        <w:t>. This organization is making a significant impact in our community.”</w:t>
      </w:r>
    </w:p>
    <w:p w14:paraId="79C71CBD" w14:textId="77777777" w:rsidR="00BD2223" w:rsidRPr="00FF5EA3" w:rsidRDefault="00BD2223" w:rsidP="00BD2223">
      <w:pPr>
        <w:pStyle w:val="paragraph"/>
        <w:spacing w:before="0" w:beforeAutospacing="0" w:after="0" w:afterAutospacing="0"/>
        <w:textAlignment w:val="baseline"/>
        <w:rPr>
          <w:rStyle w:val="eop"/>
          <w:rFonts w:ascii="Helvetica" w:eastAsia="Times" w:hAnsi="Helvetica" w:cstheme="majorHAnsi"/>
        </w:rPr>
      </w:pPr>
    </w:p>
    <w:p w14:paraId="66A6799E" w14:textId="77777777" w:rsidR="00BD2223" w:rsidRPr="00FF5EA3" w:rsidRDefault="00BD2223" w:rsidP="00BD2223">
      <w:pPr>
        <w:pStyle w:val="paragraph"/>
        <w:spacing w:before="0" w:beforeAutospacing="0" w:after="0" w:afterAutospacing="0"/>
        <w:textAlignment w:val="baseline"/>
        <w:rPr>
          <w:rFonts w:ascii="Helvetica" w:hAnsi="Helvetica" w:cstheme="majorHAnsi"/>
          <w:sz w:val="18"/>
          <w:szCs w:val="18"/>
        </w:rPr>
      </w:pPr>
      <w:r w:rsidRPr="00FF5EA3">
        <w:rPr>
          <w:rStyle w:val="normaltextrun"/>
          <w:rFonts w:ascii="Helvetica" w:hAnsi="Helvetica" w:cstheme="majorHAnsi"/>
        </w:rPr>
        <w:t xml:space="preserve">Due to the increased need for mental health services during the COVID-19 pandemic, the number of mental health patients helped by Partners for Healing in 2021 has increased 68% from </w:t>
      </w:r>
      <w:r>
        <w:rPr>
          <w:rStyle w:val="normaltextrun"/>
          <w:rFonts w:ascii="Helvetica" w:hAnsi="Helvetica" w:cstheme="majorHAnsi"/>
        </w:rPr>
        <w:t>last year</w:t>
      </w:r>
      <w:r w:rsidRPr="00FF5EA3">
        <w:rPr>
          <w:rStyle w:val="normaltextrun"/>
          <w:rFonts w:ascii="Helvetica" w:hAnsi="Helvetica" w:cstheme="majorHAnsi"/>
        </w:rPr>
        <w:t xml:space="preserve">. </w:t>
      </w:r>
      <w:r w:rsidRPr="00FF5EA3">
        <w:rPr>
          <w:rStyle w:val="eop"/>
          <w:rFonts w:ascii="Helvetica" w:eastAsia="Times" w:hAnsi="Helvetica" w:cstheme="majorHAnsi"/>
        </w:rPr>
        <w:t xml:space="preserve">Through </w:t>
      </w:r>
      <w:r>
        <w:rPr>
          <w:rStyle w:val="eop"/>
          <w:rFonts w:ascii="Helvetica" w:eastAsia="Times" w:hAnsi="Helvetica" w:cstheme="majorHAnsi"/>
        </w:rPr>
        <w:t>December</w:t>
      </w:r>
      <w:r w:rsidRPr="00FF5EA3">
        <w:rPr>
          <w:rStyle w:val="eop"/>
          <w:rFonts w:ascii="Helvetica" w:eastAsia="Times" w:hAnsi="Helvetica" w:cstheme="majorHAnsi"/>
        </w:rPr>
        <w:t xml:space="preserve"> of 2021, Partners for Healing had provided more than 2</w:t>
      </w:r>
      <w:r>
        <w:rPr>
          <w:rStyle w:val="eop"/>
          <w:rFonts w:ascii="Helvetica" w:eastAsia="Times" w:hAnsi="Helvetica" w:cstheme="majorHAnsi"/>
        </w:rPr>
        <w:t>,5</w:t>
      </w:r>
      <w:r w:rsidRPr="00FF5EA3">
        <w:rPr>
          <w:rStyle w:val="eop"/>
          <w:rFonts w:ascii="Helvetica" w:eastAsia="Times" w:hAnsi="Helvetica" w:cstheme="majorHAnsi"/>
        </w:rPr>
        <w:t xml:space="preserve">00 primary care appointments to </w:t>
      </w:r>
      <w:r>
        <w:rPr>
          <w:rStyle w:val="eop"/>
          <w:rFonts w:ascii="Helvetica" w:eastAsia="Times" w:hAnsi="Helvetica" w:cstheme="majorHAnsi"/>
        </w:rPr>
        <w:t>427</w:t>
      </w:r>
      <w:r w:rsidRPr="00FF5EA3">
        <w:rPr>
          <w:rStyle w:val="eop"/>
          <w:rFonts w:ascii="Helvetica" w:eastAsia="Times" w:hAnsi="Helvetica" w:cstheme="majorHAnsi"/>
        </w:rPr>
        <w:t xml:space="preserve"> patients and dispensed </w:t>
      </w:r>
      <w:r>
        <w:rPr>
          <w:rStyle w:val="eop"/>
          <w:rFonts w:ascii="Helvetica" w:eastAsia="Times" w:hAnsi="Helvetica" w:cstheme="majorHAnsi"/>
        </w:rPr>
        <w:t>5,4</w:t>
      </w:r>
      <w:r w:rsidRPr="00FF5EA3">
        <w:rPr>
          <w:rStyle w:val="eop"/>
          <w:rFonts w:ascii="Helvetica" w:eastAsia="Times" w:hAnsi="Helvetica" w:cstheme="majorHAnsi"/>
        </w:rPr>
        <w:t>00 free 30-day prescriptions.</w:t>
      </w:r>
    </w:p>
    <w:p w14:paraId="1B948AA0" w14:textId="77777777" w:rsidR="00BD2223" w:rsidRPr="00FF5EA3" w:rsidRDefault="00BD2223" w:rsidP="00BD2223">
      <w:pPr>
        <w:pStyle w:val="paragraph"/>
        <w:spacing w:before="0" w:beforeAutospacing="0" w:after="0" w:afterAutospacing="0"/>
        <w:textAlignment w:val="baseline"/>
        <w:rPr>
          <w:rFonts w:ascii="Helvetica" w:hAnsi="Helvetica" w:cstheme="majorHAnsi"/>
          <w:sz w:val="18"/>
          <w:szCs w:val="18"/>
        </w:rPr>
      </w:pPr>
      <w:r w:rsidRPr="00FF5EA3">
        <w:rPr>
          <w:rStyle w:val="eop"/>
          <w:rFonts w:ascii="Helvetica" w:eastAsia="Times" w:hAnsi="Helvetica" w:cstheme="majorHAnsi"/>
        </w:rPr>
        <w:t> </w:t>
      </w:r>
    </w:p>
    <w:p w14:paraId="2C96E901" w14:textId="77777777" w:rsidR="00BD2223" w:rsidRPr="00FF5EA3" w:rsidRDefault="00BD2223" w:rsidP="00BD2223">
      <w:pPr>
        <w:rPr>
          <w:rFonts w:ascii="Helvetica" w:eastAsia="Times New Roman" w:hAnsi="Helvetica"/>
        </w:rPr>
      </w:pPr>
      <w:r w:rsidRPr="00FF5EA3">
        <w:rPr>
          <w:rStyle w:val="normaltextrun"/>
          <w:rFonts w:ascii="Helvetica" w:hAnsi="Helvetica" w:cstheme="majorHAnsi"/>
        </w:rPr>
        <w:t xml:space="preserve">“COVID-19 has continued to affect our patients in the past year,” said Lynn Brumfield, executive director of Partners for Healing. “Mental health has always been a necessity in our patient population and the pandemic has only increased that need. </w:t>
      </w:r>
      <w:proofErr w:type="spellStart"/>
      <w:r w:rsidRPr="00FF5EA3">
        <w:rPr>
          <w:rStyle w:val="normaltextrun"/>
          <w:rFonts w:ascii="Helvetica" w:hAnsi="Helvetica" w:cstheme="majorHAnsi"/>
        </w:rPr>
        <w:t>Ascend’s</w:t>
      </w:r>
      <w:proofErr w:type="spellEnd"/>
      <w:r w:rsidRPr="00FF5EA3">
        <w:rPr>
          <w:rStyle w:val="normaltextrun"/>
          <w:rFonts w:ascii="Helvetica" w:hAnsi="Helvetica" w:cstheme="majorHAnsi"/>
        </w:rPr>
        <w:t xml:space="preserve"> generous donation allows us to continue to serve our patients and help them with both their physical and mental health needs.”</w:t>
      </w:r>
      <w:r w:rsidRPr="00FF5EA3">
        <w:rPr>
          <w:rStyle w:val="eop"/>
          <w:rFonts w:ascii="Helvetica" w:hAnsi="Helvetica" w:cstheme="majorHAnsi"/>
        </w:rPr>
        <w:t> </w:t>
      </w:r>
    </w:p>
    <w:p w14:paraId="34758CC7" w14:textId="77777777" w:rsidR="00BD2223" w:rsidRPr="00FF5EA3" w:rsidRDefault="00BD2223" w:rsidP="00BD2223">
      <w:pPr>
        <w:pStyle w:val="paragraph"/>
        <w:spacing w:before="0" w:beforeAutospacing="0" w:after="0" w:afterAutospacing="0"/>
        <w:textAlignment w:val="baseline"/>
        <w:rPr>
          <w:rFonts w:ascii="Helvetica" w:hAnsi="Helvetica" w:cstheme="majorHAnsi"/>
          <w:sz w:val="18"/>
          <w:szCs w:val="18"/>
        </w:rPr>
      </w:pPr>
      <w:r w:rsidRPr="00FF5EA3">
        <w:rPr>
          <w:rStyle w:val="eop"/>
          <w:rFonts w:ascii="Helvetica" w:eastAsia="Times" w:hAnsi="Helvetica" w:cstheme="majorHAnsi"/>
        </w:rPr>
        <w:t> </w:t>
      </w:r>
    </w:p>
    <w:p w14:paraId="1CA677BA" w14:textId="77777777" w:rsidR="00BD2223" w:rsidRPr="00FF5EA3" w:rsidRDefault="00BD2223" w:rsidP="00BD2223">
      <w:pPr>
        <w:pStyle w:val="paragraph"/>
        <w:spacing w:before="0" w:beforeAutospacing="0" w:after="0" w:afterAutospacing="0"/>
        <w:textAlignment w:val="baseline"/>
        <w:rPr>
          <w:rFonts w:ascii="Helvetica" w:hAnsi="Helvetica" w:cstheme="majorHAnsi"/>
          <w:sz w:val="18"/>
          <w:szCs w:val="18"/>
        </w:rPr>
      </w:pPr>
      <w:r w:rsidRPr="00FF5EA3">
        <w:rPr>
          <w:rStyle w:val="normaltextrun"/>
          <w:rFonts w:ascii="Helvetica" w:hAnsi="Helvetica" w:cstheme="majorHAnsi"/>
        </w:rPr>
        <w:t>The donation comes from </w:t>
      </w:r>
      <w:proofErr w:type="spellStart"/>
      <w:r w:rsidRPr="00FF5EA3">
        <w:rPr>
          <w:rStyle w:val="normaltextrun"/>
          <w:rFonts w:ascii="Helvetica" w:hAnsi="Helvetica" w:cstheme="majorHAnsi"/>
        </w:rPr>
        <w:t>Ascend’s</w:t>
      </w:r>
      <w:proofErr w:type="spellEnd"/>
      <w:r w:rsidRPr="00FF5EA3">
        <w:rPr>
          <w:rStyle w:val="normaltextrun"/>
          <w:rFonts w:ascii="Helvetica" w:hAnsi="Helvetica" w:cstheme="majorHAnsi"/>
        </w:rPr>
        <w:t xml:space="preserve"> Charitable Donation Account (CDA), which was established in November 2017 by its </w:t>
      </w:r>
      <w:r>
        <w:rPr>
          <w:rStyle w:val="normaltextrun"/>
          <w:rFonts w:ascii="Helvetica" w:hAnsi="Helvetica" w:cstheme="majorHAnsi"/>
        </w:rPr>
        <w:t>b</w:t>
      </w:r>
      <w:r w:rsidRPr="00FF5EA3">
        <w:rPr>
          <w:rStyle w:val="normaltextrun"/>
          <w:rFonts w:ascii="Helvetica" w:hAnsi="Helvetica" w:cstheme="majorHAnsi"/>
        </w:rPr>
        <w:t xml:space="preserve">oard of </w:t>
      </w:r>
      <w:r>
        <w:rPr>
          <w:rStyle w:val="normaltextrun"/>
          <w:rFonts w:ascii="Helvetica" w:hAnsi="Helvetica" w:cstheme="majorHAnsi"/>
        </w:rPr>
        <w:t>d</w:t>
      </w:r>
      <w:r w:rsidRPr="00FF5EA3">
        <w:rPr>
          <w:rStyle w:val="normaltextrun"/>
          <w:rFonts w:ascii="Helvetica" w:hAnsi="Helvetica" w:cstheme="majorHAnsi"/>
        </w:rPr>
        <w:t>irectors. The CDA allows Ascend to generate revenue from investments to support various charitable endeavors.</w:t>
      </w:r>
      <w:r w:rsidRPr="00FF5EA3">
        <w:rPr>
          <w:rStyle w:val="eop"/>
          <w:rFonts w:ascii="Helvetica" w:eastAsia="Times" w:hAnsi="Helvetica" w:cstheme="majorHAnsi"/>
        </w:rPr>
        <w:t> </w:t>
      </w:r>
    </w:p>
    <w:p w14:paraId="394BCE59" w14:textId="77777777" w:rsidR="00BD2223" w:rsidRPr="00FF5EA3" w:rsidRDefault="00BD2223" w:rsidP="00BD2223">
      <w:pPr>
        <w:pStyle w:val="paragraph"/>
        <w:spacing w:before="0" w:beforeAutospacing="0" w:after="0" w:afterAutospacing="0"/>
        <w:textAlignment w:val="baseline"/>
        <w:rPr>
          <w:rFonts w:ascii="Helvetica" w:hAnsi="Helvetica" w:cstheme="majorHAnsi"/>
          <w:sz w:val="18"/>
          <w:szCs w:val="18"/>
        </w:rPr>
      </w:pPr>
      <w:r w:rsidRPr="00FF5EA3">
        <w:rPr>
          <w:rStyle w:val="eop"/>
          <w:rFonts w:ascii="Helvetica" w:eastAsia="Times" w:hAnsi="Helvetica" w:cstheme="majorHAnsi"/>
        </w:rPr>
        <w:t> </w:t>
      </w:r>
    </w:p>
    <w:p w14:paraId="35C123DD" w14:textId="77777777" w:rsidR="00095F53" w:rsidRDefault="00BD2223" w:rsidP="00BD2223">
      <w:pPr>
        <w:pStyle w:val="paragraph"/>
        <w:shd w:val="clear" w:color="auto" w:fill="FFFFFF"/>
        <w:spacing w:before="0" w:beforeAutospacing="0" w:after="0" w:afterAutospacing="0"/>
        <w:textAlignment w:val="baseline"/>
        <w:rPr>
          <w:rFonts w:ascii="Helvetica" w:hAnsi="Helvetica" w:cstheme="majorHAnsi"/>
          <w:b/>
          <w:bCs/>
          <w:sz w:val="18"/>
          <w:szCs w:val="18"/>
        </w:rPr>
      </w:pPr>
      <w:r w:rsidRPr="00FF5EA3">
        <w:rPr>
          <w:rStyle w:val="normaltextrun"/>
          <w:rFonts w:ascii="Helvetica" w:hAnsi="Helvetica" w:cstheme="majorHAnsi"/>
          <w:b/>
          <w:bCs/>
        </w:rPr>
        <w:t>About Partners for Healing</w:t>
      </w:r>
      <w:r w:rsidRPr="00FF5EA3">
        <w:rPr>
          <w:rStyle w:val="eop"/>
          <w:rFonts w:ascii="Helvetica" w:eastAsia="Times" w:hAnsi="Helvetica" w:cstheme="majorHAnsi"/>
          <w:b/>
          <w:bCs/>
        </w:rPr>
        <w:t> </w:t>
      </w:r>
    </w:p>
    <w:p w14:paraId="7985D7DB" w14:textId="1628C959" w:rsidR="00BD2223" w:rsidRPr="00095F53" w:rsidRDefault="00BD2223" w:rsidP="00BD2223">
      <w:pPr>
        <w:pStyle w:val="paragraph"/>
        <w:shd w:val="clear" w:color="auto" w:fill="FFFFFF"/>
        <w:spacing w:before="0" w:beforeAutospacing="0" w:after="0" w:afterAutospacing="0"/>
        <w:textAlignment w:val="baseline"/>
        <w:rPr>
          <w:rFonts w:ascii="Helvetica" w:hAnsi="Helvetica" w:cstheme="majorHAnsi"/>
          <w:b/>
          <w:bCs/>
          <w:sz w:val="18"/>
          <w:szCs w:val="18"/>
        </w:rPr>
      </w:pPr>
      <w:r w:rsidRPr="00FF5EA3">
        <w:rPr>
          <w:rStyle w:val="normaltextrun"/>
          <w:rFonts w:ascii="Helvetica" w:hAnsi="Helvetica" w:cstheme="majorHAnsi"/>
        </w:rPr>
        <w:lastRenderedPageBreak/>
        <w:t>Partners for Healing is a 501(c)3 free primary medical clinic that was established in 2001 in Tullahoma. The organization provides care for those who live or work in Franklin, Coffee and Moore counties. To qualify for services, applicants must have a total household income of less than 250% of the Federal Poverty Guidelines and at least one member of the household must work a minimum of 20 hours each week. Partners for Healing services include on-site lab, free 30-day prescriptions for many drugs, ultrasounds, prescription assistance for medications, mental health counseling, quarterly mammogram screenings and a referral system to specialists, and physicians and hospitals who provide care to its patients at a discounted rate. For more information, visit </w:t>
      </w:r>
      <w:hyperlink r:id="rId8" w:tgtFrame="_blank" w:history="1">
        <w:r w:rsidRPr="00FF5EA3">
          <w:rPr>
            <w:rStyle w:val="normaltextrun"/>
            <w:rFonts w:ascii="Helvetica" w:hAnsi="Helvetica" w:cstheme="majorHAnsi"/>
            <w:color w:val="0000FF"/>
            <w:u w:val="single"/>
          </w:rPr>
          <w:t>partnersforhealing.org</w:t>
        </w:r>
      </w:hyperlink>
      <w:r w:rsidRPr="00FF5EA3">
        <w:rPr>
          <w:rStyle w:val="normaltextrun"/>
          <w:rFonts w:ascii="Helvetica" w:hAnsi="Helvetica" w:cstheme="majorHAnsi"/>
        </w:rPr>
        <w:t>.</w:t>
      </w:r>
      <w:r w:rsidRPr="00FF5EA3">
        <w:rPr>
          <w:rStyle w:val="eop"/>
          <w:rFonts w:ascii="Helvetica" w:eastAsia="Times" w:hAnsi="Helvetica" w:cstheme="majorHAnsi"/>
        </w:rPr>
        <w:t> </w:t>
      </w:r>
    </w:p>
    <w:p w14:paraId="1EB6E2A6" w14:textId="77777777" w:rsidR="00BD2223" w:rsidRPr="00FF5EA3" w:rsidRDefault="00BD2223" w:rsidP="00BD2223">
      <w:pPr>
        <w:pBdr>
          <w:top w:val="nil"/>
          <w:left w:val="nil"/>
          <w:bottom w:val="nil"/>
          <w:right w:val="nil"/>
          <w:between w:val="nil"/>
        </w:pBdr>
        <w:rPr>
          <w:rFonts w:ascii="Helvetica" w:eastAsia="Calibri" w:hAnsi="Helvetica" w:cs="Calibri"/>
          <w:color w:val="000000"/>
          <w:szCs w:val="24"/>
        </w:rPr>
      </w:pPr>
    </w:p>
    <w:p w14:paraId="6921B7F8" w14:textId="77777777" w:rsidR="00BD2223" w:rsidRDefault="00BD2223" w:rsidP="00BD2223">
      <w:pPr>
        <w:rPr>
          <w:rFonts w:ascii="Helvetica" w:eastAsia="Calibri" w:hAnsi="Helvetica" w:cs="Calibri"/>
          <w:b/>
          <w:szCs w:val="24"/>
        </w:rPr>
      </w:pPr>
      <w:r w:rsidRPr="00915A48">
        <w:rPr>
          <w:rFonts w:ascii="Helvetica" w:eastAsia="Calibri" w:hAnsi="Helvetica" w:cs="Calibri"/>
          <w:b/>
          <w:szCs w:val="24"/>
        </w:rPr>
        <w:t>About Ascend Federal Credit Union</w:t>
      </w:r>
    </w:p>
    <w:p w14:paraId="4D9B91BD" w14:textId="77777777" w:rsidR="00BD2223" w:rsidRPr="00624CB4" w:rsidRDefault="00BD2223" w:rsidP="00BD2223">
      <w:pPr>
        <w:rPr>
          <w:rFonts w:ascii="Helvetica" w:eastAsia="Times New Roman" w:hAnsi="Helvetica"/>
          <w:szCs w:val="24"/>
        </w:rPr>
      </w:pPr>
      <w:r w:rsidRPr="00787AA6">
        <w:rPr>
          <w:rFonts w:ascii="Helvetica" w:eastAsia="Times New Roman" w:hAnsi="Helvetica"/>
          <w:color w:val="000000"/>
          <w:szCs w:val="24"/>
        </w:rPr>
        <w:t xml:space="preserve">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w:t>
      </w:r>
      <w:proofErr w:type="gramStart"/>
      <w:r w:rsidRPr="00787AA6">
        <w:rPr>
          <w:rFonts w:ascii="Helvetica" w:eastAsia="Times New Roman" w:hAnsi="Helvetica"/>
          <w:color w:val="000000"/>
          <w:szCs w:val="24"/>
        </w:rPr>
        <w:t>retirement</w:t>
      </w:r>
      <w:proofErr w:type="gramEnd"/>
      <w:r w:rsidRPr="00787AA6">
        <w:rPr>
          <w:rFonts w:ascii="Helvetica" w:eastAsia="Times New Roman" w:hAnsi="Helvetica"/>
          <w:color w:val="000000"/>
          <w:szCs w:val="24"/>
        </w:rPr>
        <w:t xml:space="preserve"> and investment services from its 2</w:t>
      </w:r>
      <w:r>
        <w:rPr>
          <w:rFonts w:ascii="Helvetica" w:eastAsia="Times New Roman" w:hAnsi="Helvetica"/>
          <w:color w:val="000000"/>
          <w:szCs w:val="24"/>
        </w:rPr>
        <w:t xml:space="preserve">7 </w:t>
      </w:r>
      <w:r w:rsidRPr="00787AA6">
        <w:rPr>
          <w:rFonts w:ascii="Helvetica" w:eastAsia="Times New Roman" w:hAnsi="Helvetica"/>
          <w:color w:val="000000"/>
          <w:szCs w:val="24"/>
        </w:rPr>
        <w:t xml:space="preserve">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w:t>
      </w:r>
      <w:r w:rsidRPr="00113540">
        <w:rPr>
          <w:rFonts w:ascii="Helvetica" w:eastAsia="Times New Roman" w:hAnsi="Helvetica"/>
          <w:color w:val="000000"/>
          <w:szCs w:val="24"/>
        </w:rPr>
        <w:t>Administration. For more information, visit ascend.org.</w:t>
      </w:r>
    </w:p>
    <w:p w14:paraId="6432E809" w14:textId="77777777" w:rsidR="00BD2223" w:rsidRPr="00915A48" w:rsidRDefault="00BD2223" w:rsidP="00BD2223">
      <w:pPr>
        <w:pBdr>
          <w:top w:val="nil"/>
          <w:left w:val="nil"/>
          <w:bottom w:val="nil"/>
          <w:right w:val="nil"/>
          <w:between w:val="nil"/>
        </w:pBdr>
        <w:jc w:val="center"/>
        <w:rPr>
          <w:rFonts w:ascii="Helvetica" w:eastAsia="Calibri" w:hAnsi="Helvetica" w:cs="Calibri"/>
          <w:color w:val="231F20"/>
          <w:szCs w:val="24"/>
        </w:rPr>
      </w:pPr>
    </w:p>
    <w:p w14:paraId="0FFC7C16" w14:textId="77777777" w:rsidR="00BD2223" w:rsidRPr="00915A48" w:rsidRDefault="00BD2223" w:rsidP="00BD2223">
      <w:pPr>
        <w:jc w:val="center"/>
        <w:rPr>
          <w:rFonts w:ascii="Helvetica" w:eastAsia="Calibri" w:hAnsi="Helvetica" w:cs="Calibri"/>
          <w:szCs w:val="24"/>
        </w:rPr>
      </w:pPr>
      <w:r w:rsidRPr="00915A48">
        <w:rPr>
          <w:rFonts w:ascii="Helvetica" w:eastAsia="Calibri" w:hAnsi="Helvetica" w:cs="Calibri"/>
          <w:szCs w:val="24"/>
        </w:rPr>
        <w:t>###</w:t>
      </w:r>
    </w:p>
    <w:p w14:paraId="7EC696B2" w14:textId="77777777" w:rsidR="00915A48" w:rsidRPr="00915A48" w:rsidRDefault="00915A48" w:rsidP="00915A48">
      <w:pPr>
        <w:rPr>
          <w:rFonts w:ascii="Helvetica" w:hAnsi="Helvetica"/>
        </w:rPr>
      </w:pPr>
    </w:p>
    <w:p w14:paraId="23903835" w14:textId="77777777" w:rsidR="00915A48" w:rsidRPr="00915A48" w:rsidRDefault="00915A48" w:rsidP="00915A48">
      <w:pPr>
        <w:rPr>
          <w:rFonts w:ascii="Helvetica" w:hAnsi="Helvetica"/>
        </w:rPr>
      </w:pPr>
    </w:p>
    <w:p w14:paraId="0281B581" w14:textId="6EC9015F" w:rsidR="00CC0D13" w:rsidRPr="00915A48" w:rsidRDefault="00CC0D13" w:rsidP="00915A48">
      <w:pPr>
        <w:rPr>
          <w:rFonts w:ascii="Helvetica" w:hAnsi="Helvetica" w:cs="Arial"/>
        </w:rPr>
      </w:pPr>
    </w:p>
    <w:p w14:paraId="2D32C4C5" w14:textId="49D6B602" w:rsidR="00411875" w:rsidRPr="00915A48" w:rsidRDefault="00411875" w:rsidP="00411875">
      <w:pPr>
        <w:jc w:val="center"/>
        <w:rPr>
          <w:rFonts w:ascii="Helvetica" w:hAnsi="Helvetica" w:cs="Arial"/>
        </w:rPr>
      </w:pPr>
    </w:p>
    <w:p w14:paraId="35558742" w14:textId="77777777" w:rsidR="00411875" w:rsidRPr="00915A48" w:rsidRDefault="00411875" w:rsidP="002877F0">
      <w:pPr>
        <w:rPr>
          <w:rFonts w:ascii="Helvetica" w:hAnsi="Helvetica" w:cs="Arial"/>
        </w:rPr>
      </w:pPr>
    </w:p>
    <w:sectPr w:rsidR="00411875" w:rsidRPr="00915A48" w:rsidSect="001D2FB8">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50B"/>
    <w:multiLevelType w:val="hybridMultilevel"/>
    <w:tmpl w:val="3DE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8"/>
    <w:rsid w:val="0000296C"/>
    <w:rsid w:val="0000440C"/>
    <w:rsid w:val="000139A6"/>
    <w:rsid w:val="00024501"/>
    <w:rsid w:val="00030BEE"/>
    <w:rsid w:val="00032C96"/>
    <w:rsid w:val="000347A1"/>
    <w:rsid w:val="00053825"/>
    <w:rsid w:val="00064BFF"/>
    <w:rsid w:val="0007009E"/>
    <w:rsid w:val="00083150"/>
    <w:rsid w:val="00083838"/>
    <w:rsid w:val="000845B7"/>
    <w:rsid w:val="00086383"/>
    <w:rsid w:val="00093F9B"/>
    <w:rsid w:val="00095F53"/>
    <w:rsid w:val="000A5FD7"/>
    <w:rsid w:val="000C6CD2"/>
    <w:rsid w:val="000E4510"/>
    <w:rsid w:val="000E4CBC"/>
    <w:rsid w:val="000E65E9"/>
    <w:rsid w:val="000F3A2B"/>
    <w:rsid w:val="00110294"/>
    <w:rsid w:val="00113540"/>
    <w:rsid w:val="00120B24"/>
    <w:rsid w:val="00124525"/>
    <w:rsid w:val="0012600C"/>
    <w:rsid w:val="00134C45"/>
    <w:rsid w:val="001354A6"/>
    <w:rsid w:val="00140769"/>
    <w:rsid w:val="0014196C"/>
    <w:rsid w:val="0014444C"/>
    <w:rsid w:val="00163BA9"/>
    <w:rsid w:val="00174CC4"/>
    <w:rsid w:val="00183A30"/>
    <w:rsid w:val="00187A7A"/>
    <w:rsid w:val="001A0B3C"/>
    <w:rsid w:val="001B053D"/>
    <w:rsid w:val="001B5E36"/>
    <w:rsid w:val="001C3605"/>
    <w:rsid w:val="001D18F2"/>
    <w:rsid w:val="001D2FB8"/>
    <w:rsid w:val="001D7C48"/>
    <w:rsid w:val="001D7F2A"/>
    <w:rsid w:val="001F192E"/>
    <w:rsid w:val="00212065"/>
    <w:rsid w:val="0022455A"/>
    <w:rsid w:val="002353F7"/>
    <w:rsid w:val="00242181"/>
    <w:rsid w:val="00245730"/>
    <w:rsid w:val="00261B65"/>
    <w:rsid w:val="002632C3"/>
    <w:rsid w:val="002658D0"/>
    <w:rsid w:val="002668F7"/>
    <w:rsid w:val="00270C7C"/>
    <w:rsid w:val="0027432F"/>
    <w:rsid w:val="00274CB7"/>
    <w:rsid w:val="00276269"/>
    <w:rsid w:val="002832E7"/>
    <w:rsid w:val="002877F0"/>
    <w:rsid w:val="002912F7"/>
    <w:rsid w:val="00291CF8"/>
    <w:rsid w:val="00293C0C"/>
    <w:rsid w:val="00296395"/>
    <w:rsid w:val="002A04D2"/>
    <w:rsid w:val="002A4BB8"/>
    <w:rsid w:val="002A5DE3"/>
    <w:rsid w:val="002A7AE4"/>
    <w:rsid w:val="002B113F"/>
    <w:rsid w:val="002B5431"/>
    <w:rsid w:val="002B688E"/>
    <w:rsid w:val="002C1FF7"/>
    <w:rsid w:val="002D15EC"/>
    <w:rsid w:val="002D5306"/>
    <w:rsid w:val="002E2C25"/>
    <w:rsid w:val="002F57D1"/>
    <w:rsid w:val="00313FF2"/>
    <w:rsid w:val="00315A97"/>
    <w:rsid w:val="00315FBB"/>
    <w:rsid w:val="003214B7"/>
    <w:rsid w:val="00331E31"/>
    <w:rsid w:val="003508C6"/>
    <w:rsid w:val="0035487A"/>
    <w:rsid w:val="00357025"/>
    <w:rsid w:val="003774DD"/>
    <w:rsid w:val="00377CE7"/>
    <w:rsid w:val="00387D0C"/>
    <w:rsid w:val="00390392"/>
    <w:rsid w:val="00390965"/>
    <w:rsid w:val="00393656"/>
    <w:rsid w:val="0039595A"/>
    <w:rsid w:val="00396069"/>
    <w:rsid w:val="003A06BE"/>
    <w:rsid w:val="003A1F68"/>
    <w:rsid w:val="003C2AA7"/>
    <w:rsid w:val="003C5879"/>
    <w:rsid w:val="003D5A84"/>
    <w:rsid w:val="003D7CFC"/>
    <w:rsid w:val="003E03FF"/>
    <w:rsid w:val="003E0702"/>
    <w:rsid w:val="003E0BB1"/>
    <w:rsid w:val="0040222E"/>
    <w:rsid w:val="00405234"/>
    <w:rsid w:val="00406E6B"/>
    <w:rsid w:val="004103A8"/>
    <w:rsid w:val="00410932"/>
    <w:rsid w:val="00411875"/>
    <w:rsid w:val="004478C4"/>
    <w:rsid w:val="0045238E"/>
    <w:rsid w:val="00471AE5"/>
    <w:rsid w:val="00473C7B"/>
    <w:rsid w:val="004809F7"/>
    <w:rsid w:val="004817A8"/>
    <w:rsid w:val="0048750A"/>
    <w:rsid w:val="00491A5F"/>
    <w:rsid w:val="004A2A32"/>
    <w:rsid w:val="004B0528"/>
    <w:rsid w:val="004B0FC3"/>
    <w:rsid w:val="004B2204"/>
    <w:rsid w:val="004B46A4"/>
    <w:rsid w:val="004E4317"/>
    <w:rsid w:val="004F0655"/>
    <w:rsid w:val="004F1E46"/>
    <w:rsid w:val="00513142"/>
    <w:rsid w:val="005150A2"/>
    <w:rsid w:val="0052019C"/>
    <w:rsid w:val="00527601"/>
    <w:rsid w:val="0053014B"/>
    <w:rsid w:val="005315DB"/>
    <w:rsid w:val="0054079F"/>
    <w:rsid w:val="00546C90"/>
    <w:rsid w:val="00546F80"/>
    <w:rsid w:val="005516DD"/>
    <w:rsid w:val="005519EE"/>
    <w:rsid w:val="0055216C"/>
    <w:rsid w:val="0055635A"/>
    <w:rsid w:val="00563AD2"/>
    <w:rsid w:val="005674CC"/>
    <w:rsid w:val="00570605"/>
    <w:rsid w:val="00577609"/>
    <w:rsid w:val="005823A0"/>
    <w:rsid w:val="0058736C"/>
    <w:rsid w:val="005922D4"/>
    <w:rsid w:val="00592585"/>
    <w:rsid w:val="00592DFD"/>
    <w:rsid w:val="00593A9E"/>
    <w:rsid w:val="0059507A"/>
    <w:rsid w:val="00596E65"/>
    <w:rsid w:val="005A0E80"/>
    <w:rsid w:val="005A2DFB"/>
    <w:rsid w:val="005A3EF3"/>
    <w:rsid w:val="005B42C7"/>
    <w:rsid w:val="005B721C"/>
    <w:rsid w:val="005C005F"/>
    <w:rsid w:val="005C2270"/>
    <w:rsid w:val="005D0F58"/>
    <w:rsid w:val="005D3AA3"/>
    <w:rsid w:val="005D58F8"/>
    <w:rsid w:val="005D5CE1"/>
    <w:rsid w:val="005D5D23"/>
    <w:rsid w:val="005E6D5E"/>
    <w:rsid w:val="005E7906"/>
    <w:rsid w:val="006137FA"/>
    <w:rsid w:val="00615D42"/>
    <w:rsid w:val="006161D8"/>
    <w:rsid w:val="00617DF4"/>
    <w:rsid w:val="006207A2"/>
    <w:rsid w:val="00624CB4"/>
    <w:rsid w:val="006279BA"/>
    <w:rsid w:val="00631EBE"/>
    <w:rsid w:val="00636876"/>
    <w:rsid w:val="00641989"/>
    <w:rsid w:val="00642411"/>
    <w:rsid w:val="00650547"/>
    <w:rsid w:val="00654AB7"/>
    <w:rsid w:val="00654E16"/>
    <w:rsid w:val="00656EF4"/>
    <w:rsid w:val="00657FC7"/>
    <w:rsid w:val="00662432"/>
    <w:rsid w:val="00664690"/>
    <w:rsid w:val="0066542F"/>
    <w:rsid w:val="00672A13"/>
    <w:rsid w:val="00684D48"/>
    <w:rsid w:val="00685019"/>
    <w:rsid w:val="0068626D"/>
    <w:rsid w:val="0068676C"/>
    <w:rsid w:val="00693371"/>
    <w:rsid w:val="00696106"/>
    <w:rsid w:val="00697236"/>
    <w:rsid w:val="006A17AE"/>
    <w:rsid w:val="006A2CF8"/>
    <w:rsid w:val="006A45F5"/>
    <w:rsid w:val="006A4625"/>
    <w:rsid w:val="006A5C4A"/>
    <w:rsid w:val="006A7852"/>
    <w:rsid w:val="006B302D"/>
    <w:rsid w:val="006B6754"/>
    <w:rsid w:val="006C1082"/>
    <w:rsid w:val="006C66DC"/>
    <w:rsid w:val="006D566C"/>
    <w:rsid w:val="006D6600"/>
    <w:rsid w:val="006D7F17"/>
    <w:rsid w:val="006E1C57"/>
    <w:rsid w:val="006F3EBA"/>
    <w:rsid w:val="006F5791"/>
    <w:rsid w:val="006F5ABF"/>
    <w:rsid w:val="00710CDB"/>
    <w:rsid w:val="00712827"/>
    <w:rsid w:val="00712A40"/>
    <w:rsid w:val="00715575"/>
    <w:rsid w:val="00716CFB"/>
    <w:rsid w:val="00720F5E"/>
    <w:rsid w:val="00732414"/>
    <w:rsid w:val="00737104"/>
    <w:rsid w:val="007452F0"/>
    <w:rsid w:val="007456D6"/>
    <w:rsid w:val="007654E9"/>
    <w:rsid w:val="00766661"/>
    <w:rsid w:val="007733A6"/>
    <w:rsid w:val="00773823"/>
    <w:rsid w:val="00781802"/>
    <w:rsid w:val="00781927"/>
    <w:rsid w:val="0078249E"/>
    <w:rsid w:val="007825D5"/>
    <w:rsid w:val="00783A0E"/>
    <w:rsid w:val="007877DE"/>
    <w:rsid w:val="00787AA6"/>
    <w:rsid w:val="007927CF"/>
    <w:rsid w:val="007A42D3"/>
    <w:rsid w:val="007A6045"/>
    <w:rsid w:val="007C115E"/>
    <w:rsid w:val="007C145B"/>
    <w:rsid w:val="007C2842"/>
    <w:rsid w:val="007C357E"/>
    <w:rsid w:val="007C4C3F"/>
    <w:rsid w:val="007D0C0E"/>
    <w:rsid w:val="007D6774"/>
    <w:rsid w:val="007E3A40"/>
    <w:rsid w:val="007F3581"/>
    <w:rsid w:val="007F41CF"/>
    <w:rsid w:val="007F6728"/>
    <w:rsid w:val="0080106C"/>
    <w:rsid w:val="00804289"/>
    <w:rsid w:val="0080473B"/>
    <w:rsid w:val="00812E83"/>
    <w:rsid w:val="00816083"/>
    <w:rsid w:val="008231C4"/>
    <w:rsid w:val="00823CE1"/>
    <w:rsid w:val="008332B4"/>
    <w:rsid w:val="00834186"/>
    <w:rsid w:val="00843D7A"/>
    <w:rsid w:val="0085197C"/>
    <w:rsid w:val="008533DD"/>
    <w:rsid w:val="00854829"/>
    <w:rsid w:val="00855123"/>
    <w:rsid w:val="00863448"/>
    <w:rsid w:val="008635BE"/>
    <w:rsid w:val="008662AF"/>
    <w:rsid w:val="00874620"/>
    <w:rsid w:val="008906DF"/>
    <w:rsid w:val="008B00A1"/>
    <w:rsid w:val="008B55B8"/>
    <w:rsid w:val="008C2D2C"/>
    <w:rsid w:val="008C7441"/>
    <w:rsid w:val="008E0004"/>
    <w:rsid w:val="008E2DC3"/>
    <w:rsid w:val="008E7703"/>
    <w:rsid w:val="008F07D6"/>
    <w:rsid w:val="008F7A4B"/>
    <w:rsid w:val="00913C2B"/>
    <w:rsid w:val="00913D83"/>
    <w:rsid w:val="00915A48"/>
    <w:rsid w:val="009206A5"/>
    <w:rsid w:val="009221AE"/>
    <w:rsid w:val="009263C7"/>
    <w:rsid w:val="00932033"/>
    <w:rsid w:val="00933167"/>
    <w:rsid w:val="00951532"/>
    <w:rsid w:val="00961C53"/>
    <w:rsid w:val="00971FDC"/>
    <w:rsid w:val="00985BB9"/>
    <w:rsid w:val="00991526"/>
    <w:rsid w:val="0099289F"/>
    <w:rsid w:val="009B63BB"/>
    <w:rsid w:val="009B7190"/>
    <w:rsid w:val="009D169B"/>
    <w:rsid w:val="009D3B95"/>
    <w:rsid w:val="009D3FF3"/>
    <w:rsid w:val="009D7014"/>
    <w:rsid w:val="00A105CE"/>
    <w:rsid w:val="00A10873"/>
    <w:rsid w:val="00A14358"/>
    <w:rsid w:val="00A3276F"/>
    <w:rsid w:val="00A33F2B"/>
    <w:rsid w:val="00A42981"/>
    <w:rsid w:val="00A432B2"/>
    <w:rsid w:val="00A47D74"/>
    <w:rsid w:val="00A518D4"/>
    <w:rsid w:val="00A548F8"/>
    <w:rsid w:val="00A56D85"/>
    <w:rsid w:val="00A573B8"/>
    <w:rsid w:val="00A6263B"/>
    <w:rsid w:val="00A64958"/>
    <w:rsid w:val="00A74A1D"/>
    <w:rsid w:val="00AA0CDF"/>
    <w:rsid w:val="00AA7CBE"/>
    <w:rsid w:val="00AB66CC"/>
    <w:rsid w:val="00AC517E"/>
    <w:rsid w:val="00AD0473"/>
    <w:rsid w:val="00AD1484"/>
    <w:rsid w:val="00AD1FAF"/>
    <w:rsid w:val="00AD5FC3"/>
    <w:rsid w:val="00AF65C0"/>
    <w:rsid w:val="00AF68B5"/>
    <w:rsid w:val="00B10718"/>
    <w:rsid w:val="00B1111F"/>
    <w:rsid w:val="00B24CDC"/>
    <w:rsid w:val="00B25A22"/>
    <w:rsid w:val="00B25B80"/>
    <w:rsid w:val="00B26155"/>
    <w:rsid w:val="00B31FBE"/>
    <w:rsid w:val="00B373F8"/>
    <w:rsid w:val="00B435E3"/>
    <w:rsid w:val="00B50FE1"/>
    <w:rsid w:val="00B5204C"/>
    <w:rsid w:val="00B64FE6"/>
    <w:rsid w:val="00B65EFB"/>
    <w:rsid w:val="00B679D7"/>
    <w:rsid w:val="00B76BBE"/>
    <w:rsid w:val="00B81F3D"/>
    <w:rsid w:val="00B82F42"/>
    <w:rsid w:val="00B90953"/>
    <w:rsid w:val="00B91CD1"/>
    <w:rsid w:val="00B96595"/>
    <w:rsid w:val="00BA20B7"/>
    <w:rsid w:val="00BA244D"/>
    <w:rsid w:val="00BA76A1"/>
    <w:rsid w:val="00BB2032"/>
    <w:rsid w:val="00BB421D"/>
    <w:rsid w:val="00BB6378"/>
    <w:rsid w:val="00BC32A0"/>
    <w:rsid w:val="00BD2223"/>
    <w:rsid w:val="00BD458C"/>
    <w:rsid w:val="00BD5D70"/>
    <w:rsid w:val="00BD5E18"/>
    <w:rsid w:val="00BE2CE6"/>
    <w:rsid w:val="00C008DC"/>
    <w:rsid w:val="00C0265A"/>
    <w:rsid w:val="00C0391D"/>
    <w:rsid w:val="00C0613F"/>
    <w:rsid w:val="00C313B9"/>
    <w:rsid w:val="00C32248"/>
    <w:rsid w:val="00C32CFF"/>
    <w:rsid w:val="00C52ECE"/>
    <w:rsid w:val="00C630EA"/>
    <w:rsid w:val="00C648DB"/>
    <w:rsid w:val="00C649F0"/>
    <w:rsid w:val="00C65C15"/>
    <w:rsid w:val="00C73E9C"/>
    <w:rsid w:val="00C774EC"/>
    <w:rsid w:val="00C80BBB"/>
    <w:rsid w:val="00C83A7F"/>
    <w:rsid w:val="00C922DA"/>
    <w:rsid w:val="00CB1470"/>
    <w:rsid w:val="00CB6F13"/>
    <w:rsid w:val="00CC00F5"/>
    <w:rsid w:val="00CC0D13"/>
    <w:rsid w:val="00CC0D41"/>
    <w:rsid w:val="00CC2547"/>
    <w:rsid w:val="00CC515B"/>
    <w:rsid w:val="00CD6118"/>
    <w:rsid w:val="00CE2F6C"/>
    <w:rsid w:val="00CE50F1"/>
    <w:rsid w:val="00CE5D61"/>
    <w:rsid w:val="00CE78DD"/>
    <w:rsid w:val="00CF1235"/>
    <w:rsid w:val="00D01DC1"/>
    <w:rsid w:val="00D079A9"/>
    <w:rsid w:val="00D10C39"/>
    <w:rsid w:val="00D12A44"/>
    <w:rsid w:val="00D14814"/>
    <w:rsid w:val="00D227D0"/>
    <w:rsid w:val="00D244EB"/>
    <w:rsid w:val="00D27F98"/>
    <w:rsid w:val="00D451C5"/>
    <w:rsid w:val="00D565C6"/>
    <w:rsid w:val="00D60B55"/>
    <w:rsid w:val="00D63310"/>
    <w:rsid w:val="00D66D57"/>
    <w:rsid w:val="00D704B2"/>
    <w:rsid w:val="00D7356A"/>
    <w:rsid w:val="00D73570"/>
    <w:rsid w:val="00D76DE0"/>
    <w:rsid w:val="00D82716"/>
    <w:rsid w:val="00D91CF9"/>
    <w:rsid w:val="00D9338B"/>
    <w:rsid w:val="00DA0337"/>
    <w:rsid w:val="00DA5B00"/>
    <w:rsid w:val="00DB7382"/>
    <w:rsid w:val="00DC2511"/>
    <w:rsid w:val="00DC712B"/>
    <w:rsid w:val="00DD1D2E"/>
    <w:rsid w:val="00DF7F6A"/>
    <w:rsid w:val="00E12D37"/>
    <w:rsid w:val="00E1370D"/>
    <w:rsid w:val="00E1512A"/>
    <w:rsid w:val="00E17EE9"/>
    <w:rsid w:val="00E235F5"/>
    <w:rsid w:val="00E27115"/>
    <w:rsid w:val="00E31ED1"/>
    <w:rsid w:val="00E34D08"/>
    <w:rsid w:val="00E36485"/>
    <w:rsid w:val="00E4649F"/>
    <w:rsid w:val="00E538C7"/>
    <w:rsid w:val="00E543C0"/>
    <w:rsid w:val="00E565DF"/>
    <w:rsid w:val="00E63635"/>
    <w:rsid w:val="00E6369B"/>
    <w:rsid w:val="00E63E60"/>
    <w:rsid w:val="00E71F2F"/>
    <w:rsid w:val="00E76398"/>
    <w:rsid w:val="00E76FA2"/>
    <w:rsid w:val="00E82C9C"/>
    <w:rsid w:val="00E85622"/>
    <w:rsid w:val="00E93CF2"/>
    <w:rsid w:val="00EA176E"/>
    <w:rsid w:val="00EA3E0A"/>
    <w:rsid w:val="00EB0123"/>
    <w:rsid w:val="00EB0565"/>
    <w:rsid w:val="00EB4B40"/>
    <w:rsid w:val="00EB717D"/>
    <w:rsid w:val="00EB78C4"/>
    <w:rsid w:val="00EC1EF9"/>
    <w:rsid w:val="00EC4CAA"/>
    <w:rsid w:val="00ED608A"/>
    <w:rsid w:val="00EE7325"/>
    <w:rsid w:val="00EF5DC1"/>
    <w:rsid w:val="00F00522"/>
    <w:rsid w:val="00F06BBF"/>
    <w:rsid w:val="00F13790"/>
    <w:rsid w:val="00F23D9E"/>
    <w:rsid w:val="00F33978"/>
    <w:rsid w:val="00F479C2"/>
    <w:rsid w:val="00F6357D"/>
    <w:rsid w:val="00F76973"/>
    <w:rsid w:val="00F76DE6"/>
    <w:rsid w:val="00F815FE"/>
    <w:rsid w:val="00F8178D"/>
    <w:rsid w:val="00F829AF"/>
    <w:rsid w:val="00F85DB7"/>
    <w:rsid w:val="00F8623A"/>
    <w:rsid w:val="00F97FD5"/>
    <w:rsid w:val="00FA60A3"/>
    <w:rsid w:val="00FB1054"/>
    <w:rsid w:val="00FB6524"/>
    <w:rsid w:val="00FC2EEB"/>
    <w:rsid w:val="00FD5B92"/>
    <w:rsid w:val="00FE37E6"/>
    <w:rsid w:val="00FE6287"/>
    <w:rsid w:val="00FF5EA3"/>
    <w:rsid w:val="0201057A"/>
    <w:rsid w:val="02661437"/>
    <w:rsid w:val="060D8867"/>
    <w:rsid w:val="0CC456EB"/>
    <w:rsid w:val="0F25B3F9"/>
    <w:rsid w:val="0F3DEA9F"/>
    <w:rsid w:val="10EADF2F"/>
    <w:rsid w:val="130D6B1B"/>
    <w:rsid w:val="1B1EE6C6"/>
    <w:rsid w:val="1CBAB727"/>
    <w:rsid w:val="208041D6"/>
    <w:rsid w:val="23FBAA97"/>
    <w:rsid w:val="25977AF8"/>
    <w:rsid w:val="3276E5B5"/>
    <w:rsid w:val="33CAAC63"/>
    <w:rsid w:val="34A8A0F8"/>
    <w:rsid w:val="3A2BDA3E"/>
    <w:rsid w:val="4074E212"/>
    <w:rsid w:val="44E96464"/>
    <w:rsid w:val="45578F97"/>
    <w:rsid w:val="46DB7876"/>
    <w:rsid w:val="4ECD88AB"/>
    <w:rsid w:val="5339E179"/>
    <w:rsid w:val="55AF8322"/>
    <w:rsid w:val="5882A53C"/>
    <w:rsid w:val="58BD4D90"/>
    <w:rsid w:val="59EB6A9B"/>
    <w:rsid w:val="5DF640D4"/>
    <w:rsid w:val="676F6718"/>
    <w:rsid w:val="68118E18"/>
    <w:rsid w:val="6FA49DF8"/>
    <w:rsid w:val="704723C8"/>
    <w:rsid w:val="77CC3946"/>
    <w:rsid w:val="793032A3"/>
    <w:rsid w:val="7A6A8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05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7A8"/>
    <w:rPr>
      <w:rFonts w:ascii="Times" w:eastAsia="Times" w:hAnsi="Times"/>
      <w:sz w:val="24"/>
    </w:rPr>
  </w:style>
  <w:style w:type="paragraph" w:styleId="Heading1">
    <w:name w:val="heading 1"/>
    <w:basedOn w:val="Normal"/>
    <w:next w:val="Normal"/>
    <w:link w:val="Heading1Char"/>
    <w:qFormat/>
    <w:rsid w:val="004817A8"/>
    <w:pPr>
      <w:keepNext/>
      <w:outlineLvl w:val="0"/>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C0E"/>
    <w:rPr>
      <w:rFonts w:ascii="Times New Roman" w:hAnsi="Times New Roman"/>
      <w:sz w:val="24"/>
    </w:rPr>
  </w:style>
  <w:style w:type="paragraph" w:styleId="EnvelopeAddress">
    <w:name w:val="envelope address"/>
    <w:basedOn w:val="Normal"/>
    <w:uiPriority w:val="99"/>
    <w:semiHidden/>
    <w:unhideWhenUsed/>
    <w:rsid w:val="002B7F50"/>
    <w:pPr>
      <w:framePr w:w="7920" w:h="1980" w:hRule="exact" w:hSpace="180" w:wrap="auto" w:hAnchor="page" w:xAlign="center" w:yAlign="bottom"/>
      <w:ind w:left="2880"/>
    </w:pPr>
    <w:rPr>
      <w:rFonts w:eastAsia="Times New Roman"/>
      <w:sz w:val="32"/>
      <w:szCs w:val="24"/>
    </w:rPr>
  </w:style>
  <w:style w:type="paragraph" w:customStyle="1" w:styleId="Style1">
    <w:name w:val="Style 1"/>
    <w:basedOn w:val="NoSpacing"/>
    <w:next w:val="NoSpacing"/>
    <w:autoRedefine/>
    <w:qFormat/>
    <w:rsid w:val="00132E7F"/>
  </w:style>
  <w:style w:type="character" w:customStyle="1" w:styleId="Heading1Char">
    <w:name w:val="Heading 1 Char"/>
    <w:link w:val="Heading1"/>
    <w:rsid w:val="004817A8"/>
    <w:rPr>
      <w:rFonts w:ascii="Helvetica" w:eastAsia="Times New Roman" w:hAnsi="Helvetica" w:cs="Times New Roman"/>
      <w:b/>
      <w:sz w:val="24"/>
    </w:rPr>
  </w:style>
  <w:style w:type="character" w:styleId="Hyperlink">
    <w:name w:val="Hyperlink"/>
    <w:rsid w:val="004817A8"/>
    <w:rPr>
      <w:color w:val="0000FF"/>
      <w:u w:val="single"/>
    </w:rPr>
  </w:style>
  <w:style w:type="paragraph" w:styleId="BodyText">
    <w:name w:val="Body Text"/>
    <w:basedOn w:val="Normal"/>
    <w:link w:val="BodyTextChar"/>
    <w:rsid w:val="004817A8"/>
    <w:rPr>
      <w:rFonts w:ascii="Helvetica" w:eastAsia="Times New Roman" w:hAnsi="Helvetica"/>
      <w:b/>
      <w:color w:val="800000"/>
      <w:sz w:val="32"/>
    </w:rPr>
  </w:style>
  <w:style w:type="character" w:customStyle="1" w:styleId="BodyTextChar">
    <w:name w:val="Body Text Char"/>
    <w:link w:val="BodyText"/>
    <w:rsid w:val="004817A8"/>
    <w:rPr>
      <w:rFonts w:ascii="Helvetica" w:eastAsia="Times New Roman" w:hAnsi="Helvetica" w:cs="Times New Roman"/>
      <w:b/>
      <w:color w:val="800000"/>
      <w:sz w:val="32"/>
    </w:rPr>
  </w:style>
  <w:style w:type="paragraph" w:styleId="BalloonText">
    <w:name w:val="Balloon Text"/>
    <w:basedOn w:val="Normal"/>
    <w:link w:val="BalloonTextChar"/>
    <w:uiPriority w:val="99"/>
    <w:semiHidden/>
    <w:unhideWhenUsed/>
    <w:rsid w:val="007E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A40"/>
    <w:rPr>
      <w:rFonts w:ascii="Lucida Grande" w:eastAsia="Times" w:hAnsi="Lucida Grande"/>
      <w:sz w:val="18"/>
      <w:szCs w:val="18"/>
    </w:rPr>
  </w:style>
  <w:style w:type="character" w:styleId="CommentReference">
    <w:name w:val="annotation reference"/>
    <w:basedOn w:val="DefaultParagraphFont"/>
    <w:uiPriority w:val="99"/>
    <w:semiHidden/>
    <w:unhideWhenUsed/>
    <w:rsid w:val="00315A97"/>
    <w:rPr>
      <w:sz w:val="18"/>
      <w:szCs w:val="18"/>
    </w:rPr>
  </w:style>
  <w:style w:type="paragraph" w:styleId="CommentText">
    <w:name w:val="annotation text"/>
    <w:basedOn w:val="Normal"/>
    <w:link w:val="CommentTextChar"/>
    <w:uiPriority w:val="99"/>
    <w:semiHidden/>
    <w:unhideWhenUsed/>
    <w:rsid w:val="00315A97"/>
    <w:rPr>
      <w:szCs w:val="24"/>
    </w:rPr>
  </w:style>
  <w:style w:type="character" w:customStyle="1" w:styleId="CommentTextChar">
    <w:name w:val="Comment Text Char"/>
    <w:basedOn w:val="DefaultParagraphFont"/>
    <w:link w:val="CommentText"/>
    <w:uiPriority w:val="99"/>
    <w:semiHidden/>
    <w:rsid w:val="00315A97"/>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315A97"/>
    <w:rPr>
      <w:b/>
      <w:bCs/>
      <w:sz w:val="20"/>
      <w:szCs w:val="20"/>
    </w:rPr>
  </w:style>
  <w:style w:type="character" w:customStyle="1" w:styleId="CommentSubjectChar">
    <w:name w:val="Comment Subject Char"/>
    <w:basedOn w:val="CommentTextChar"/>
    <w:link w:val="CommentSubject"/>
    <w:uiPriority w:val="99"/>
    <w:semiHidden/>
    <w:rsid w:val="00315A97"/>
    <w:rPr>
      <w:rFonts w:ascii="Times" w:eastAsia="Times" w:hAnsi="Times"/>
      <w:b/>
      <w:bCs/>
      <w:sz w:val="24"/>
      <w:szCs w:val="24"/>
    </w:rPr>
  </w:style>
  <w:style w:type="paragraph" w:styleId="ListParagraph">
    <w:name w:val="List Paragraph"/>
    <w:basedOn w:val="Normal"/>
    <w:uiPriority w:val="34"/>
    <w:qFormat/>
    <w:rsid w:val="00834186"/>
    <w:pPr>
      <w:ind w:left="720"/>
      <w:contextualSpacing/>
    </w:pPr>
  </w:style>
  <w:style w:type="character" w:customStyle="1" w:styleId="apple-converted-space">
    <w:name w:val="apple-converted-space"/>
    <w:basedOn w:val="DefaultParagraphFont"/>
    <w:rsid w:val="001D7C48"/>
  </w:style>
  <w:style w:type="paragraph" w:customStyle="1" w:styleId="p1">
    <w:name w:val="p1"/>
    <w:basedOn w:val="Normal"/>
    <w:rsid w:val="00EC4CAA"/>
    <w:rPr>
      <w:rFonts w:ascii="Helvetica" w:eastAsiaTheme="minorEastAsia" w:hAnsi="Helvetica"/>
      <w:sz w:val="14"/>
      <w:szCs w:val="14"/>
    </w:rPr>
  </w:style>
  <w:style w:type="character" w:styleId="UnresolvedMention">
    <w:name w:val="Unresolved Mention"/>
    <w:basedOn w:val="DefaultParagraphFont"/>
    <w:uiPriority w:val="99"/>
    <w:rsid w:val="00C52ECE"/>
    <w:rPr>
      <w:color w:val="605E5C"/>
      <w:shd w:val="clear" w:color="auto" w:fill="E1DFDD"/>
    </w:rPr>
  </w:style>
  <w:style w:type="paragraph" w:styleId="NormalWeb">
    <w:name w:val="Normal (Web)"/>
    <w:basedOn w:val="Normal"/>
    <w:uiPriority w:val="99"/>
    <w:semiHidden/>
    <w:unhideWhenUsed/>
    <w:rsid w:val="00915A48"/>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787AA6"/>
  </w:style>
  <w:style w:type="character" w:customStyle="1" w:styleId="eop">
    <w:name w:val="eop"/>
    <w:basedOn w:val="DefaultParagraphFont"/>
    <w:rsid w:val="00787AA6"/>
  </w:style>
  <w:style w:type="paragraph" w:customStyle="1" w:styleId="paragraph">
    <w:name w:val="paragraph"/>
    <w:basedOn w:val="Normal"/>
    <w:rsid w:val="00FF5EA3"/>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697236"/>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8528">
      <w:bodyDiv w:val="1"/>
      <w:marLeft w:val="0"/>
      <w:marRight w:val="0"/>
      <w:marTop w:val="0"/>
      <w:marBottom w:val="0"/>
      <w:divBdr>
        <w:top w:val="none" w:sz="0" w:space="0" w:color="auto"/>
        <w:left w:val="none" w:sz="0" w:space="0" w:color="auto"/>
        <w:bottom w:val="none" w:sz="0" w:space="0" w:color="auto"/>
        <w:right w:val="none" w:sz="0" w:space="0" w:color="auto"/>
      </w:divBdr>
    </w:div>
    <w:div w:id="966348671">
      <w:bodyDiv w:val="1"/>
      <w:marLeft w:val="0"/>
      <w:marRight w:val="0"/>
      <w:marTop w:val="0"/>
      <w:marBottom w:val="0"/>
      <w:divBdr>
        <w:top w:val="none" w:sz="0" w:space="0" w:color="auto"/>
        <w:left w:val="none" w:sz="0" w:space="0" w:color="auto"/>
        <w:bottom w:val="none" w:sz="0" w:space="0" w:color="auto"/>
        <w:right w:val="none" w:sz="0" w:space="0" w:color="auto"/>
      </w:divBdr>
      <w:divsChild>
        <w:div w:id="624234011">
          <w:marLeft w:val="0"/>
          <w:marRight w:val="0"/>
          <w:marTop w:val="0"/>
          <w:marBottom w:val="0"/>
          <w:divBdr>
            <w:top w:val="none" w:sz="0" w:space="0" w:color="auto"/>
            <w:left w:val="none" w:sz="0" w:space="0" w:color="auto"/>
            <w:bottom w:val="none" w:sz="0" w:space="0" w:color="auto"/>
            <w:right w:val="none" w:sz="0" w:space="0" w:color="auto"/>
          </w:divBdr>
        </w:div>
        <w:div w:id="599752529">
          <w:marLeft w:val="0"/>
          <w:marRight w:val="0"/>
          <w:marTop w:val="0"/>
          <w:marBottom w:val="0"/>
          <w:divBdr>
            <w:top w:val="none" w:sz="0" w:space="0" w:color="auto"/>
            <w:left w:val="none" w:sz="0" w:space="0" w:color="auto"/>
            <w:bottom w:val="none" w:sz="0" w:space="0" w:color="auto"/>
            <w:right w:val="none" w:sz="0" w:space="0" w:color="auto"/>
          </w:divBdr>
        </w:div>
        <w:div w:id="2061518511">
          <w:marLeft w:val="0"/>
          <w:marRight w:val="0"/>
          <w:marTop w:val="0"/>
          <w:marBottom w:val="0"/>
          <w:divBdr>
            <w:top w:val="none" w:sz="0" w:space="0" w:color="auto"/>
            <w:left w:val="none" w:sz="0" w:space="0" w:color="auto"/>
            <w:bottom w:val="none" w:sz="0" w:space="0" w:color="auto"/>
            <w:right w:val="none" w:sz="0" w:space="0" w:color="auto"/>
          </w:divBdr>
        </w:div>
        <w:div w:id="1079594576">
          <w:marLeft w:val="0"/>
          <w:marRight w:val="0"/>
          <w:marTop w:val="0"/>
          <w:marBottom w:val="0"/>
          <w:divBdr>
            <w:top w:val="none" w:sz="0" w:space="0" w:color="auto"/>
            <w:left w:val="none" w:sz="0" w:space="0" w:color="auto"/>
            <w:bottom w:val="none" w:sz="0" w:space="0" w:color="auto"/>
            <w:right w:val="none" w:sz="0" w:space="0" w:color="auto"/>
          </w:divBdr>
        </w:div>
        <w:div w:id="64496945">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904633183">
          <w:marLeft w:val="0"/>
          <w:marRight w:val="0"/>
          <w:marTop w:val="0"/>
          <w:marBottom w:val="0"/>
          <w:divBdr>
            <w:top w:val="none" w:sz="0" w:space="0" w:color="auto"/>
            <w:left w:val="none" w:sz="0" w:space="0" w:color="auto"/>
            <w:bottom w:val="none" w:sz="0" w:space="0" w:color="auto"/>
            <w:right w:val="none" w:sz="0" w:space="0" w:color="auto"/>
          </w:divBdr>
        </w:div>
        <w:div w:id="426537336">
          <w:marLeft w:val="0"/>
          <w:marRight w:val="0"/>
          <w:marTop w:val="0"/>
          <w:marBottom w:val="0"/>
          <w:divBdr>
            <w:top w:val="none" w:sz="0" w:space="0" w:color="auto"/>
            <w:left w:val="none" w:sz="0" w:space="0" w:color="auto"/>
            <w:bottom w:val="none" w:sz="0" w:space="0" w:color="auto"/>
            <w:right w:val="none" w:sz="0" w:space="0" w:color="auto"/>
          </w:divBdr>
        </w:div>
        <w:div w:id="854733032">
          <w:marLeft w:val="0"/>
          <w:marRight w:val="0"/>
          <w:marTop w:val="0"/>
          <w:marBottom w:val="0"/>
          <w:divBdr>
            <w:top w:val="none" w:sz="0" w:space="0" w:color="auto"/>
            <w:left w:val="none" w:sz="0" w:space="0" w:color="auto"/>
            <w:bottom w:val="none" w:sz="0" w:space="0" w:color="auto"/>
            <w:right w:val="none" w:sz="0" w:space="0" w:color="auto"/>
          </w:divBdr>
        </w:div>
        <w:div w:id="1229608671">
          <w:marLeft w:val="0"/>
          <w:marRight w:val="0"/>
          <w:marTop w:val="0"/>
          <w:marBottom w:val="0"/>
          <w:divBdr>
            <w:top w:val="none" w:sz="0" w:space="0" w:color="auto"/>
            <w:left w:val="none" w:sz="0" w:space="0" w:color="auto"/>
            <w:bottom w:val="none" w:sz="0" w:space="0" w:color="auto"/>
            <w:right w:val="none" w:sz="0" w:space="0" w:color="auto"/>
          </w:divBdr>
        </w:div>
        <w:div w:id="1248533638">
          <w:marLeft w:val="0"/>
          <w:marRight w:val="0"/>
          <w:marTop w:val="0"/>
          <w:marBottom w:val="0"/>
          <w:divBdr>
            <w:top w:val="none" w:sz="0" w:space="0" w:color="auto"/>
            <w:left w:val="none" w:sz="0" w:space="0" w:color="auto"/>
            <w:bottom w:val="none" w:sz="0" w:space="0" w:color="auto"/>
            <w:right w:val="none" w:sz="0" w:space="0" w:color="auto"/>
          </w:divBdr>
        </w:div>
        <w:div w:id="1556047862">
          <w:marLeft w:val="0"/>
          <w:marRight w:val="0"/>
          <w:marTop w:val="0"/>
          <w:marBottom w:val="0"/>
          <w:divBdr>
            <w:top w:val="none" w:sz="0" w:space="0" w:color="auto"/>
            <w:left w:val="none" w:sz="0" w:space="0" w:color="auto"/>
            <w:bottom w:val="none" w:sz="0" w:space="0" w:color="auto"/>
            <w:right w:val="none" w:sz="0" w:space="0" w:color="auto"/>
          </w:divBdr>
        </w:div>
        <w:div w:id="1848791958">
          <w:marLeft w:val="0"/>
          <w:marRight w:val="0"/>
          <w:marTop w:val="0"/>
          <w:marBottom w:val="0"/>
          <w:divBdr>
            <w:top w:val="none" w:sz="0" w:space="0" w:color="auto"/>
            <w:left w:val="none" w:sz="0" w:space="0" w:color="auto"/>
            <w:bottom w:val="none" w:sz="0" w:space="0" w:color="auto"/>
            <w:right w:val="none" w:sz="0" w:space="0" w:color="auto"/>
          </w:divBdr>
        </w:div>
        <w:div w:id="1427969107">
          <w:marLeft w:val="0"/>
          <w:marRight w:val="0"/>
          <w:marTop w:val="0"/>
          <w:marBottom w:val="0"/>
          <w:divBdr>
            <w:top w:val="none" w:sz="0" w:space="0" w:color="auto"/>
            <w:left w:val="none" w:sz="0" w:space="0" w:color="auto"/>
            <w:bottom w:val="none" w:sz="0" w:space="0" w:color="auto"/>
            <w:right w:val="none" w:sz="0" w:space="0" w:color="auto"/>
          </w:divBdr>
        </w:div>
        <w:div w:id="1318919291">
          <w:marLeft w:val="0"/>
          <w:marRight w:val="0"/>
          <w:marTop w:val="0"/>
          <w:marBottom w:val="0"/>
          <w:divBdr>
            <w:top w:val="none" w:sz="0" w:space="0" w:color="auto"/>
            <w:left w:val="none" w:sz="0" w:space="0" w:color="auto"/>
            <w:bottom w:val="none" w:sz="0" w:space="0" w:color="auto"/>
            <w:right w:val="none" w:sz="0" w:space="0" w:color="auto"/>
          </w:divBdr>
        </w:div>
      </w:divsChild>
    </w:div>
    <w:div w:id="1130056490">
      <w:bodyDiv w:val="1"/>
      <w:marLeft w:val="0"/>
      <w:marRight w:val="0"/>
      <w:marTop w:val="0"/>
      <w:marBottom w:val="0"/>
      <w:divBdr>
        <w:top w:val="none" w:sz="0" w:space="0" w:color="auto"/>
        <w:left w:val="none" w:sz="0" w:space="0" w:color="auto"/>
        <w:bottom w:val="none" w:sz="0" w:space="0" w:color="auto"/>
        <w:right w:val="none" w:sz="0" w:space="0" w:color="auto"/>
      </w:divBdr>
    </w:div>
    <w:div w:id="1195656273">
      <w:bodyDiv w:val="1"/>
      <w:marLeft w:val="0"/>
      <w:marRight w:val="0"/>
      <w:marTop w:val="0"/>
      <w:marBottom w:val="0"/>
      <w:divBdr>
        <w:top w:val="none" w:sz="0" w:space="0" w:color="auto"/>
        <w:left w:val="none" w:sz="0" w:space="0" w:color="auto"/>
        <w:bottom w:val="none" w:sz="0" w:space="0" w:color="auto"/>
        <w:right w:val="none" w:sz="0" w:space="0" w:color="auto"/>
      </w:divBdr>
    </w:div>
    <w:div w:id="151460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sforhealing.org/" TargetMode="External"/><Relationship Id="rId3" Type="http://schemas.openxmlformats.org/officeDocument/2006/relationships/settings" Target="settings.xml"/><Relationship Id="rId7" Type="http://schemas.openxmlformats.org/officeDocument/2006/relationships/hyperlink" Target="https://www.partnersforhea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end.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BBPPB-H4M2C-MGCHG-394CJ-G6VFJ</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David Foster</cp:lastModifiedBy>
  <cp:revision>7</cp:revision>
  <cp:lastPrinted>2020-09-29T21:01:00Z</cp:lastPrinted>
  <dcterms:created xsi:type="dcterms:W3CDTF">2022-01-11T15:46:00Z</dcterms:created>
  <dcterms:modified xsi:type="dcterms:W3CDTF">2022-01-11T17:34:00Z</dcterms:modified>
</cp:coreProperties>
</file>