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01118" w14:textId="77777777" w:rsidR="00276B2F" w:rsidRDefault="00007CDD">
      <w:pPr>
        <w:rPr>
          <w:rFonts w:ascii="Arial" w:eastAsia="Arial" w:hAnsi="Arial" w:cs="Arial"/>
          <w:sz w:val="22"/>
          <w:szCs w:val="22"/>
        </w:rPr>
      </w:pPr>
      <w:r>
        <w:rPr>
          <w:rFonts w:ascii="Arial" w:eastAsia="Arial" w:hAnsi="Arial" w:cs="Arial"/>
          <w:b/>
          <w:sz w:val="22"/>
          <w:szCs w:val="22"/>
        </w:rPr>
        <w:t>Media Contact:</w:t>
      </w:r>
      <w:r>
        <w:rPr>
          <w:noProof/>
        </w:rPr>
        <mc:AlternateContent>
          <mc:Choice Requires="wps">
            <w:drawing>
              <wp:anchor distT="0" distB="0" distL="114300" distR="114300" simplePos="0" relativeHeight="251658240" behindDoc="0" locked="0" layoutInCell="1" hidden="0" allowOverlap="1" wp14:anchorId="7AF3CF97" wp14:editId="766FC6F1">
                <wp:simplePos x="0" y="0"/>
                <wp:positionH relativeFrom="column">
                  <wp:posOffset>4292600</wp:posOffset>
                </wp:positionH>
                <wp:positionV relativeFrom="paragraph">
                  <wp:posOffset>50800</wp:posOffset>
                </wp:positionV>
                <wp:extent cx="1623060" cy="44767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4539233" y="3560925"/>
                          <a:ext cx="1613535" cy="438150"/>
                        </a:xfrm>
                        <a:prstGeom prst="rect">
                          <a:avLst/>
                        </a:prstGeom>
                        <a:noFill/>
                        <a:ln>
                          <a:noFill/>
                        </a:ln>
                      </wps:spPr>
                      <wps:txbx>
                        <w:txbxContent>
                          <w:p w14:paraId="3F3D2448" w14:textId="77777777" w:rsidR="00276B2F" w:rsidRDefault="00276B2F">
                            <w:pPr>
                              <w:jc w:val="right"/>
                              <w:textDirection w:val="btLr"/>
                            </w:pPr>
                          </w:p>
                        </w:txbxContent>
                      </wps:txbx>
                      <wps:bodyPr spcFirstLastPara="1" wrap="square" lIns="91425" tIns="91425" rIns="91425" bIns="91425" anchor="t" anchorCtr="0">
                        <a:noAutofit/>
                      </wps:bodyPr>
                    </wps:wsp>
                  </a:graphicData>
                </a:graphic>
              </wp:anchor>
            </w:drawing>
          </mc:Choice>
          <mc:Fallback>
            <w:pict>
              <v:rect w14:anchorId="7AF3CF97" id="Rectangle 1" o:spid="_x0000_s1026" style="position:absolute;margin-left:338pt;margin-top:4pt;width:127.8pt;height:35.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" filled="f" stroked="f">
                <v:textbox inset="2.53958mm,2.53958mm,2.53958mm,2.53958mm">
                  <w:txbxContent>
                    <w:p w14:paraId="3F3D2448" w14:textId="77777777" w:rsidR="00276B2F" w:rsidRDefault="00276B2F">
                      <w:pPr>
                        <w:jc w:val="right"/>
                        <w:textDirection w:val="btLr"/>
                      </w:pPr>
                    </w:p>
                  </w:txbxContent>
                </v:textbox>
                <w10:wrap type="square"/>
              </v:rect>
            </w:pict>
          </mc:Fallback>
        </mc:AlternateContent>
      </w:r>
    </w:p>
    <w:p w14:paraId="7E0CBBF4" w14:textId="77777777" w:rsidR="00276B2F" w:rsidRDefault="00007CDD">
      <w:pPr>
        <w:tabs>
          <w:tab w:val="left" w:pos="1575"/>
        </w:tabs>
        <w:rPr>
          <w:rFonts w:ascii="Arial" w:eastAsia="Arial" w:hAnsi="Arial" w:cs="Arial"/>
          <w:sz w:val="22"/>
          <w:szCs w:val="22"/>
        </w:rPr>
      </w:pPr>
      <w:r>
        <w:rPr>
          <w:rFonts w:ascii="Arial" w:eastAsia="Arial" w:hAnsi="Arial" w:cs="Arial"/>
          <w:sz w:val="22"/>
          <w:szCs w:val="22"/>
        </w:rPr>
        <w:t>Maggie Wise</w:t>
      </w:r>
      <w:r>
        <w:rPr>
          <w:rFonts w:ascii="Arial" w:eastAsia="Arial" w:hAnsi="Arial" w:cs="Arial"/>
          <w:sz w:val="22"/>
          <w:szCs w:val="22"/>
        </w:rPr>
        <w:br/>
        <w:t>678.781.7229</w:t>
      </w:r>
      <w:r>
        <w:rPr>
          <w:rFonts w:ascii="Arial" w:eastAsia="Arial" w:hAnsi="Arial" w:cs="Arial"/>
          <w:sz w:val="22"/>
          <w:szCs w:val="22"/>
        </w:rPr>
        <w:br/>
      </w:r>
      <w:hyperlink r:id="rId4">
        <w:r>
          <w:rPr>
            <w:rFonts w:ascii="Arial" w:eastAsia="Arial" w:hAnsi="Arial" w:cs="Arial"/>
            <w:color w:val="0000FF"/>
            <w:sz w:val="22"/>
            <w:szCs w:val="22"/>
            <w:u w:val="single"/>
          </w:rPr>
          <w:t>maggie@williammills.com</w:t>
        </w:r>
      </w:hyperlink>
    </w:p>
    <w:p w14:paraId="499371C2" w14:textId="77777777" w:rsidR="00276B2F" w:rsidRDefault="00276B2F">
      <w:pPr>
        <w:tabs>
          <w:tab w:val="left" w:pos="1575"/>
        </w:tabs>
        <w:rPr>
          <w:rFonts w:ascii="Arial" w:eastAsia="Arial" w:hAnsi="Arial" w:cs="Arial"/>
          <w:sz w:val="22"/>
          <w:szCs w:val="22"/>
        </w:rPr>
      </w:pPr>
    </w:p>
    <w:p w14:paraId="387FEB88" w14:textId="77777777" w:rsidR="00276B2F" w:rsidRDefault="00007CDD">
      <w:pPr>
        <w:jc w:val="center"/>
        <w:rPr>
          <w:rFonts w:ascii="Arial" w:eastAsia="Arial" w:hAnsi="Arial" w:cs="Arial"/>
          <w:b/>
          <w:sz w:val="22"/>
          <w:szCs w:val="22"/>
        </w:rPr>
      </w:pPr>
      <w:bookmarkStart w:id="0" w:name="_gjdgxs" w:colFirst="0" w:colLast="0"/>
      <w:bookmarkEnd w:id="0"/>
      <w:r>
        <w:rPr>
          <w:rFonts w:ascii="Arial" w:eastAsia="Arial" w:hAnsi="Arial" w:cs="Arial"/>
          <w:b/>
          <w:sz w:val="22"/>
          <w:szCs w:val="22"/>
        </w:rPr>
        <w:t xml:space="preserve">BCU Selects Glia’s Digital Member Service Platform </w:t>
      </w:r>
    </w:p>
    <w:p w14:paraId="1E7B81E5" w14:textId="7EEE08C3" w:rsidR="00276B2F" w:rsidRDefault="00007CDD">
      <w:pPr>
        <w:jc w:val="center"/>
        <w:rPr>
          <w:rFonts w:ascii="Arial" w:eastAsia="Arial" w:hAnsi="Arial" w:cs="Arial"/>
          <w:b/>
          <w:sz w:val="22"/>
          <w:szCs w:val="22"/>
        </w:rPr>
      </w:pPr>
      <w:r>
        <w:rPr>
          <w:rFonts w:ascii="Arial" w:eastAsia="Arial" w:hAnsi="Arial" w:cs="Arial"/>
          <w:sz w:val="22"/>
          <w:szCs w:val="22"/>
        </w:rPr>
        <w:t>$4.</w:t>
      </w:r>
      <w:r w:rsidR="00994637">
        <w:rPr>
          <w:rFonts w:ascii="Arial" w:eastAsia="Arial" w:hAnsi="Arial" w:cs="Arial"/>
          <w:sz w:val="22"/>
          <w:szCs w:val="22"/>
        </w:rPr>
        <w:t>5</w:t>
      </w:r>
      <w:r>
        <w:rPr>
          <w:rFonts w:ascii="Arial" w:eastAsia="Arial" w:hAnsi="Arial" w:cs="Arial"/>
          <w:sz w:val="22"/>
          <w:szCs w:val="22"/>
        </w:rPr>
        <w:t xml:space="preserve"> billion-asset credit union selects comprehensive communications and collaboration platform to modernize member service</w:t>
      </w:r>
    </w:p>
    <w:p w14:paraId="0332FE98" w14:textId="77777777" w:rsidR="00276B2F" w:rsidRDefault="00276B2F">
      <w:pPr>
        <w:rPr>
          <w:rFonts w:ascii="Arial" w:eastAsia="Arial" w:hAnsi="Arial" w:cs="Arial"/>
          <w:sz w:val="22"/>
          <w:szCs w:val="22"/>
        </w:rPr>
      </w:pPr>
    </w:p>
    <w:p w14:paraId="565DBCDF" w14:textId="1DC68AE8" w:rsidR="00276B2F" w:rsidRDefault="00007CDD">
      <w:pPr>
        <w:rPr>
          <w:rFonts w:ascii="Arial" w:eastAsia="Arial" w:hAnsi="Arial" w:cs="Arial"/>
          <w:color w:val="000000"/>
          <w:sz w:val="22"/>
          <w:szCs w:val="22"/>
        </w:rPr>
      </w:pPr>
      <w:r>
        <w:rPr>
          <w:rFonts w:ascii="Arial" w:eastAsia="Arial" w:hAnsi="Arial" w:cs="Arial"/>
          <w:b/>
          <w:color w:val="000000"/>
          <w:sz w:val="22"/>
          <w:szCs w:val="22"/>
        </w:rPr>
        <w:t>NEW YORK, </w:t>
      </w:r>
      <w:r w:rsidR="007E6801">
        <w:rPr>
          <w:rFonts w:ascii="Arial" w:eastAsia="Arial" w:hAnsi="Arial" w:cs="Arial"/>
          <w:b/>
          <w:sz w:val="22"/>
          <w:szCs w:val="22"/>
        </w:rPr>
        <w:t>Jan. 20</w:t>
      </w:r>
      <w:r>
        <w:rPr>
          <w:rFonts w:ascii="Arial" w:eastAsia="Arial" w:hAnsi="Arial" w:cs="Arial"/>
          <w:b/>
          <w:color w:val="000000"/>
          <w:sz w:val="22"/>
          <w:szCs w:val="22"/>
        </w:rPr>
        <w:t>, 2021</w:t>
      </w:r>
      <w:r>
        <w:rPr>
          <w:rFonts w:ascii="Arial" w:eastAsia="Arial" w:hAnsi="Arial" w:cs="Arial"/>
          <w:color w:val="000000"/>
          <w:sz w:val="22"/>
          <w:szCs w:val="22"/>
        </w:rPr>
        <w:t xml:space="preserve"> – Glia, a leading </w:t>
      </w:r>
      <w:hyperlink r:id="rId5">
        <w:r>
          <w:rPr>
            <w:rFonts w:ascii="Arial" w:eastAsia="Arial" w:hAnsi="Arial" w:cs="Arial"/>
            <w:color w:val="0432FF"/>
            <w:sz w:val="22"/>
            <w:szCs w:val="22"/>
            <w:u w:val="single"/>
          </w:rPr>
          <w:t>Digital Customer Service</w:t>
        </w:r>
      </w:hyperlink>
      <w:r>
        <w:rPr>
          <w:rFonts w:ascii="Arial" w:eastAsia="Arial" w:hAnsi="Arial" w:cs="Arial"/>
          <w:color w:val="0432FF"/>
          <w:sz w:val="22"/>
          <w:szCs w:val="22"/>
        </w:rPr>
        <w:t xml:space="preserve"> </w:t>
      </w:r>
      <w:r>
        <w:rPr>
          <w:rFonts w:ascii="Arial" w:eastAsia="Arial" w:hAnsi="Arial" w:cs="Arial"/>
          <w:color w:val="000000"/>
          <w:sz w:val="22"/>
          <w:szCs w:val="22"/>
        </w:rPr>
        <w:t>provider</w:t>
      </w:r>
      <w:r>
        <w:rPr>
          <w:rFonts w:ascii="Arial" w:eastAsia="Arial" w:hAnsi="Arial" w:cs="Arial"/>
          <w:color w:val="366091"/>
          <w:sz w:val="22"/>
          <w:szCs w:val="22"/>
        </w:rPr>
        <w:t xml:space="preserve">, </w:t>
      </w:r>
      <w:r>
        <w:rPr>
          <w:rFonts w:ascii="Arial" w:eastAsia="Arial" w:hAnsi="Arial" w:cs="Arial"/>
          <w:color w:val="000000"/>
          <w:sz w:val="22"/>
          <w:szCs w:val="22"/>
        </w:rPr>
        <w:t xml:space="preserve">announced today that Vernon Hills, Ill.-based BCU has selected its Digital Member Service platform to enhance how it serves members in a digital-first world. </w:t>
      </w:r>
    </w:p>
    <w:p w14:paraId="6523A4EF" w14:textId="77777777" w:rsidR="00276B2F" w:rsidRDefault="00276B2F">
      <w:pPr>
        <w:rPr>
          <w:rFonts w:ascii="Arial" w:eastAsia="Arial" w:hAnsi="Arial" w:cs="Arial"/>
          <w:color w:val="000000"/>
          <w:sz w:val="22"/>
          <w:szCs w:val="22"/>
        </w:rPr>
      </w:pPr>
    </w:p>
    <w:p w14:paraId="237B4136" w14:textId="0CD31A01" w:rsidR="00276B2F" w:rsidRDefault="00007CDD">
      <w:pPr>
        <w:pBdr>
          <w:top w:val="nil"/>
          <w:left w:val="nil"/>
          <w:bottom w:val="nil"/>
          <w:right w:val="nil"/>
          <w:between w:val="nil"/>
        </w:pBdr>
        <w:shd w:val="clear" w:color="auto" w:fill="FFFFFF"/>
        <w:rPr>
          <w:rFonts w:ascii="Arial" w:eastAsia="Arial" w:hAnsi="Arial" w:cs="Arial"/>
          <w:color w:val="000000"/>
          <w:sz w:val="22"/>
          <w:szCs w:val="22"/>
        </w:rPr>
      </w:pPr>
      <w:r>
        <w:rPr>
          <w:rFonts w:ascii="Arial" w:eastAsia="Arial" w:hAnsi="Arial" w:cs="Arial"/>
          <w:color w:val="000000"/>
          <w:sz w:val="22"/>
          <w:szCs w:val="22"/>
        </w:rPr>
        <w:t>BCU has always been a technology innovator; it was one of the first credit unions to offer video banking and 65% of its membership is remote and heavily relies on digital channels. By leveraging Glia’s communications and collaboration platform, the credit union will be able to support members more easily and efficiently by meeting them where they are in the digital domain and communicating with them through whichever methods they prefer</w:t>
      </w:r>
      <w:r>
        <w:rPr>
          <w:rFonts w:ascii="Arial" w:eastAsia="Arial" w:hAnsi="Arial" w:cs="Arial"/>
          <w:sz w:val="22"/>
          <w:szCs w:val="22"/>
        </w:rPr>
        <w:t>—</w:t>
      </w:r>
      <w:r>
        <w:rPr>
          <w:rFonts w:ascii="Arial" w:eastAsia="Arial" w:hAnsi="Arial" w:cs="Arial"/>
          <w:color w:val="000000"/>
          <w:sz w:val="22"/>
          <w:szCs w:val="22"/>
        </w:rPr>
        <w:t>including messaging, </w:t>
      </w:r>
      <w:hyperlink r:id="rId6">
        <w:r>
          <w:rPr>
            <w:rFonts w:ascii="Arial" w:eastAsia="Arial" w:hAnsi="Arial" w:cs="Arial"/>
            <w:color w:val="0432FF"/>
            <w:sz w:val="22"/>
            <w:szCs w:val="22"/>
            <w:u w:val="single"/>
          </w:rPr>
          <w:t>video banking</w:t>
        </w:r>
      </w:hyperlink>
      <w:r>
        <w:rPr>
          <w:rFonts w:ascii="Arial" w:eastAsia="Arial" w:hAnsi="Arial" w:cs="Arial"/>
          <w:color w:val="366091"/>
          <w:sz w:val="22"/>
          <w:szCs w:val="22"/>
        </w:rPr>
        <w:t> </w:t>
      </w:r>
      <w:r>
        <w:rPr>
          <w:rFonts w:ascii="Arial" w:eastAsia="Arial" w:hAnsi="Arial" w:cs="Arial"/>
          <w:color w:val="000000"/>
          <w:sz w:val="22"/>
          <w:szCs w:val="22"/>
        </w:rPr>
        <w:t>and voice</w:t>
      </w:r>
      <w:r>
        <w:rPr>
          <w:rFonts w:ascii="Arial" w:eastAsia="Arial" w:hAnsi="Arial" w:cs="Arial"/>
          <w:sz w:val="22"/>
          <w:szCs w:val="22"/>
        </w:rPr>
        <w:t>—</w:t>
      </w:r>
      <w:r>
        <w:rPr>
          <w:rFonts w:ascii="Arial" w:eastAsia="Arial" w:hAnsi="Arial" w:cs="Arial"/>
          <w:color w:val="000000"/>
          <w:sz w:val="22"/>
          <w:szCs w:val="22"/>
        </w:rPr>
        <w:t>and guid</w:t>
      </w:r>
      <w:r>
        <w:rPr>
          <w:rFonts w:ascii="Arial" w:eastAsia="Arial" w:hAnsi="Arial" w:cs="Arial"/>
          <w:sz w:val="22"/>
          <w:szCs w:val="22"/>
        </w:rPr>
        <w:t>ing</w:t>
      </w:r>
      <w:r>
        <w:rPr>
          <w:rFonts w:ascii="Arial" w:eastAsia="Arial" w:hAnsi="Arial" w:cs="Arial"/>
          <w:color w:val="000000"/>
          <w:sz w:val="22"/>
          <w:szCs w:val="22"/>
        </w:rPr>
        <w:t xml:space="preserve"> them using </w:t>
      </w:r>
      <w:hyperlink r:id="rId7">
        <w:r>
          <w:rPr>
            <w:rFonts w:ascii="Arial" w:eastAsia="Arial" w:hAnsi="Arial" w:cs="Arial"/>
            <w:color w:val="000000"/>
            <w:sz w:val="22"/>
            <w:szCs w:val="22"/>
            <w:u w:val="single"/>
          </w:rPr>
          <w:t>CoBrowsing</w:t>
        </w:r>
      </w:hyperlink>
      <w:r>
        <w:rPr>
          <w:rFonts w:ascii="Arial" w:eastAsia="Arial" w:hAnsi="Arial" w:cs="Arial"/>
          <w:color w:val="000000"/>
          <w:sz w:val="22"/>
          <w:szCs w:val="22"/>
          <w:u w:val="single"/>
        </w:rPr>
        <w:t>.</w:t>
      </w:r>
    </w:p>
    <w:p w14:paraId="4A818D08" w14:textId="77777777" w:rsidR="00276B2F" w:rsidRDefault="00276B2F">
      <w:pPr>
        <w:shd w:val="clear" w:color="auto" w:fill="FFFFFF"/>
        <w:rPr>
          <w:rFonts w:ascii="Arial" w:eastAsia="Arial" w:hAnsi="Arial" w:cs="Arial"/>
          <w:color w:val="000000"/>
          <w:sz w:val="22"/>
          <w:szCs w:val="22"/>
        </w:rPr>
      </w:pPr>
    </w:p>
    <w:p w14:paraId="670C52A2" w14:textId="77777777" w:rsidR="00276B2F" w:rsidRDefault="00007CDD">
      <w:pPr>
        <w:shd w:val="clear" w:color="auto" w:fill="FFFFFF"/>
        <w:rPr>
          <w:rFonts w:ascii="Arial" w:eastAsia="Arial" w:hAnsi="Arial" w:cs="Arial"/>
          <w:color w:val="000000"/>
          <w:sz w:val="22"/>
          <w:szCs w:val="22"/>
        </w:rPr>
      </w:pPr>
      <w:r>
        <w:rPr>
          <w:rFonts w:ascii="Arial" w:eastAsia="Arial" w:hAnsi="Arial" w:cs="Arial"/>
          <w:color w:val="000000"/>
          <w:sz w:val="22"/>
          <w:szCs w:val="22"/>
        </w:rPr>
        <w:t>“Member service has always been one of our primary differentiators, and we recognized the need to evolve our approach to keep up with changing member preferences by extending our exceptional service into digital channels,” said Carey Price, senior vice president of digital strategy and delivery for BCU. “With Glia’s platform, we will be able to provide a more modern, convenient experience for members that still allows us to form meaningful relationships digitally. We believe this will be a major competitive advantage moving forward.”</w:t>
      </w:r>
    </w:p>
    <w:p w14:paraId="5ECAEBD0" w14:textId="77777777" w:rsidR="00276B2F" w:rsidRDefault="00276B2F">
      <w:pPr>
        <w:shd w:val="clear" w:color="auto" w:fill="FFFFFF"/>
        <w:rPr>
          <w:rFonts w:ascii="Arial" w:eastAsia="Arial" w:hAnsi="Arial" w:cs="Arial"/>
          <w:color w:val="000000"/>
          <w:sz w:val="22"/>
          <w:szCs w:val="22"/>
        </w:rPr>
      </w:pPr>
    </w:p>
    <w:p w14:paraId="29C57809" w14:textId="77777777" w:rsidR="00276B2F" w:rsidRDefault="00007CDD">
      <w:pPr>
        <w:rPr>
          <w:rFonts w:ascii="Arial" w:eastAsia="Arial" w:hAnsi="Arial" w:cs="Arial"/>
          <w:color w:val="000000"/>
          <w:sz w:val="22"/>
          <w:szCs w:val="22"/>
        </w:rPr>
      </w:pPr>
      <w:r>
        <w:rPr>
          <w:rFonts w:ascii="Arial" w:eastAsia="Arial" w:hAnsi="Arial" w:cs="Arial"/>
          <w:color w:val="000000"/>
          <w:sz w:val="22"/>
          <w:szCs w:val="22"/>
        </w:rPr>
        <w:t xml:space="preserve">With Glia, BCU’s members will no longer have to switch communications channels when an issue arises, saving time previously spent reauthenticating themselves and providing context around who they are and the issue at hand. Agents will be empowered to help multiple members at once while still catering to their individual needs, increasing both efficiencies and personalization. </w:t>
      </w:r>
    </w:p>
    <w:p w14:paraId="179AB336" w14:textId="77777777" w:rsidR="00276B2F" w:rsidRDefault="00276B2F">
      <w:pPr>
        <w:rPr>
          <w:rFonts w:ascii="Arial" w:eastAsia="Arial" w:hAnsi="Arial" w:cs="Arial"/>
          <w:color w:val="000000"/>
          <w:sz w:val="22"/>
          <w:szCs w:val="22"/>
          <w:u w:val="single"/>
        </w:rPr>
      </w:pPr>
    </w:p>
    <w:p w14:paraId="24D9CC1A" w14:textId="0C06E2DF" w:rsidR="00276B2F" w:rsidRDefault="00007CDD">
      <w:pPr>
        <w:rPr>
          <w:rFonts w:ascii="Arial" w:eastAsia="Arial" w:hAnsi="Arial" w:cs="Arial"/>
          <w:color w:val="000000"/>
          <w:sz w:val="22"/>
          <w:szCs w:val="22"/>
        </w:rPr>
      </w:pPr>
      <w:r>
        <w:rPr>
          <w:rFonts w:ascii="Arial" w:eastAsia="Arial" w:hAnsi="Arial" w:cs="Arial"/>
          <w:color w:val="000000"/>
          <w:sz w:val="22"/>
          <w:szCs w:val="22"/>
        </w:rPr>
        <w:t xml:space="preserve">“Digital </w:t>
      </w:r>
      <w:r w:rsidR="00994637">
        <w:rPr>
          <w:rFonts w:ascii="Arial" w:eastAsia="Arial" w:hAnsi="Arial" w:cs="Arial"/>
          <w:color w:val="000000"/>
          <w:sz w:val="22"/>
          <w:szCs w:val="22"/>
        </w:rPr>
        <w:t>Member</w:t>
      </w:r>
      <w:r>
        <w:rPr>
          <w:rFonts w:ascii="Arial" w:eastAsia="Arial" w:hAnsi="Arial" w:cs="Arial"/>
          <w:color w:val="000000"/>
          <w:sz w:val="22"/>
          <w:szCs w:val="22"/>
        </w:rPr>
        <w:t xml:space="preserve"> Service is the future, and institutions like BCU that are investing in the technology now to modernize member interactions will be well positioned for long term success,” said Dan Michaeli, CEO and co-founder of Glia. “By leveraging our Digital Member Service platform, BCU can enhance how it serves members in a digital world, boosting member loyalty while also improving efficiencies and reducing costs associated with legacy phone-based member service models. BCU has always been known as a tech leader, and we’re excited to support them in adopting a digital-first approach to member service.” </w:t>
      </w:r>
    </w:p>
    <w:p w14:paraId="5277BEBC" w14:textId="77777777" w:rsidR="00276B2F" w:rsidRDefault="00276B2F">
      <w:pPr>
        <w:rPr>
          <w:rFonts w:ascii="Arial" w:eastAsia="Arial" w:hAnsi="Arial" w:cs="Arial"/>
          <w:color w:val="000000"/>
          <w:sz w:val="22"/>
          <w:szCs w:val="22"/>
        </w:rPr>
      </w:pPr>
    </w:p>
    <w:p w14:paraId="56DD2277" w14:textId="77777777" w:rsidR="00276B2F" w:rsidRDefault="00007CDD">
      <w:pPr>
        <w:rPr>
          <w:rFonts w:ascii="Arial" w:eastAsia="Arial" w:hAnsi="Arial" w:cs="Arial"/>
          <w:color w:val="000000"/>
          <w:sz w:val="22"/>
          <w:szCs w:val="22"/>
        </w:rPr>
      </w:pPr>
      <w:r>
        <w:rPr>
          <w:rFonts w:ascii="Arial" w:eastAsia="Arial" w:hAnsi="Arial" w:cs="Arial"/>
          <w:b/>
          <w:color w:val="000000"/>
          <w:sz w:val="22"/>
          <w:szCs w:val="22"/>
        </w:rPr>
        <w:t>About Glia</w:t>
      </w:r>
      <w:r>
        <w:rPr>
          <w:rFonts w:ascii="Arial" w:eastAsia="Arial" w:hAnsi="Arial" w:cs="Arial"/>
          <w:b/>
          <w:color w:val="000000"/>
          <w:sz w:val="22"/>
          <w:szCs w:val="22"/>
        </w:rPr>
        <w:br/>
      </w:r>
      <w:r>
        <w:rPr>
          <w:rFonts w:ascii="Arial" w:eastAsia="Arial" w:hAnsi="Arial" w:cs="Arial"/>
          <w:color w:val="000000"/>
          <w:sz w:val="22"/>
          <w:szCs w:val="22"/>
        </w:rPr>
        <w:t>Glia is reinventing how businesses support their customers in a digital world. Glia's solution enriches web and mobile experiences with digital communication choices, on-screen collaboration and AI-enabled assistance. Glia has partnered with more than 100 financial institutions, insurance companies and fintech providers across the globe to improve top and bottom-line results through Digital Customer Service. The company has won numerous awards for its innovation - most recently recognized by Gartner as a </w:t>
      </w:r>
      <w:r>
        <w:rPr>
          <w:rFonts w:ascii="Arial" w:eastAsia="Arial" w:hAnsi="Arial" w:cs="Arial"/>
          <w:i/>
          <w:color w:val="000000"/>
          <w:sz w:val="22"/>
          <w:szCs w:val="22"/>
        </w:rPr>
        <w:t>Cool Vendor</w:t>
      </w:r>
      <w:r>
        <w:rPr>
          <w:rFonts w:ascii="Arial" w:eastAsia="Arial" w:hAnsi="Arial" w:cs="Arial"/>
          <w:color w:val="000000"/>
          <w:sz w:val="22"/>
          <w:szCs w:val="22"/>
        </w:rPr>
        <w:t> for 2020. Visit </w:t>
      </w:r>
      <w:hyperlink r:id="rId8">
        <w:r>
          <w:rPr>
            <w:rFonts w:ascii="Arial" w:eastAsia="Arial" w:hAnsi="Arial" w:cs="Arial"/>
            <w:color w:val="000000"/>
            <w:sz w:val="22"/>
            <w:szCs w:val="22"/>
            <w:u w:val="single"/>
          </w:rPr>
          <w:t>glia.com</w:t>
        </w:r>
      </w:hyperlink>
      <w:r>
        <w:rPr>
          <w:rFonts w:ascii="Arial" w:eastAsia="Arial" w:hAnsi="Arial" w:cs="Arial"/>
          <w:color w:val="000000"/>
          <w:sz w:val="22"/>
          <w:szCs w:val="22"/>
        </w:rPr>
        <w:t> to learn more.</w:t>
      </w:r>
    </w:p>
    <w:p w14:paraId="7C8005D8" w14:textId="77777777" w:rsidR="00276B2F" w:rsidRDefault="00276B2F">
      <w:pPr>
        <w:rPr>
          <w:rFonts w:ascii="Arial" w:eastAsia="Arial" w:hAnsi="Arial" w:cs="Arial"/>
          <w:color w:val="000000"/>
          <w:sz w:val="22"/>
          <w:szCs w:val="22"/>
        </w:rPr>
      </w:pPr>
    </w:p>
    <w:p w14:paraId="566D2EC5" w14:textId="77777777" w:rsidR="00276B2F" w:rsidRDefault="00007CDD">
      <w:pPr>
        <w:rPr>
          <w:rFonts w:ascii="Arial" w:eastAsia="Arial" w:hAnsi="Arial" w:cs="Arial"/>
          <w:b/>
          <w:color w:val="000000"/>
          <w:sz w:val="22"/>
          <w:szCs w:val="22"/>
        </w:rPr>
      </w:pPr>
      <w:r>
        <w:rPr>
          <w:rFonts w:ascii="Arial" w:eastAsia="Arial" w:hAnsi="Arial" w:cs="Arial"/>
          <w:b/>
          <w:color w:val="000000"/>
          <w:sz w:val="22"/>
          <w:szCs w:val="22"/>
        </w:rPr>
        <w:t>About BCU</w:t>
      </w:r>
    </w:p>
    <w:p w14:paraId="4A33E357" w14:textId="77777777" w:rsidR="00007CDD" w:rsidRPr="00007CDD" w:rsidRDefault="00007CDD" w:rsidP="00007CDD">
      <w:pPr>
        <w:rPr>
          <w:rFonts w:ascii="Arial" w:hAnsi="Arial" w:cs="Arial"/>
          <w:sz w:val="22"/>
          <w:szCs w:val="22"/>
        </w:rPr>
      </w:pPr>
      <w:r w:rsidRPr="00007CDD">
        <w:rPr>
          <w:rFonts w:ascii="Arial" w:hAnsi="Arial" w:cs="Arial"/>
          <w:sz w:val="22"/>
          <w:szCs w:val="22"/>
        </w:rPr>
        <w:lastRenderedPageBreak/>
        <w:t>BCU is a purpose-driven organization that empowers people to discover financial freedom. With over $4.5 Billion in assets, it’s also one of the fastest growing credit unions in the last four decades. Both not-for-profit and member-owned, the Credit Union is driven by the commitment to provide extraordinary service for 300,000 members across the US and Puerto Rico. BCU members enjoy access to financial services and well-being programming that inspire confidence through the brand promise Here Today For Your Tomorrow. Lifetime membership is offered to employees and families of America’s best workplaces and those living or working in Chicago-area communities.</w:t>
      </w:r>
    </w:p>
    <w:p w14:paraId="7504316A" w14:textId="77777777" w:rsidR="00276B2F" w:rsidRDefault="00276B2F">
      <w:pPr>
        <w:rPr>
          <w:rFonts w:ascii="Arial" w:eastAsia="Arial" w:hAnsi="Arial" w:cs="Arial"/>
          <w:color w:val="000000"/>
          <w:sz w:val="22"/>
          <w:szCs w:val="22"/>
        </w:rPr>
      </w:pPr>
    </w:p>
    <w:p w14:paraId="3CE8A5E5" w14:textId="77777777" w:rsidR="00276B2F" w:rsidRDefault="00007CDD">
      <w:pPr>
        <w:jc w:val="center"/>
        <w:rPr>
          <w:rFonts w:ascii="Arial" w:eastAsia="Arial" w:hAnsi="Arial" w:cs="Arial"/>
          <w:color w:val="000000"/>
          <w:sz w:val="22"/>
          <w:szCs w:val="22"/>
        </w:rPr>
      </w:pPr>
      <w:r>
        <w:rPr>
          <w:rFonts w:ascii="Arial" w:eastAsia="Arial" w:hAnsi="Arial" w:cs="Arial"/>
          <w:color w:val="000000"/>
          <w:sz w:val="22"/>
          <w:szCs w:val="22"/>
        </w:rPr>
        <w:t>###</w:t>
      </w:r>
    </w:p>
    <w:p w14:paraId="44311BBB" w14:textId="77777777" w:rsidR="00276B2F" w:rsidRDefault="00276B2F">
      <w:pPr>
        <w:jc w:val="center"/>
        <w:rPr>
          <w:rFonts w:ascii="Georgia" w:eastAsia="Georgia" w:hAnsi="Georgia" w:cs="Georgia"/>
          <w:b/>
          <w:color w:val="000000"/>
          <w:sz w:val="22"/>
          <w:szCs w:val="22"/>
        </w:rPr>
      </w:pPr>
    </w:p>
    <w:p w14:paraId="2B01B119" w14:textId="77777777" w:rsidR="00276B2F" w:rsidRDefault="00007CDD">
      <w:pPr>
        <w:tabs>
          <w:tab w:val="left" w:pos="3280"/>
        </w:tabs>
        <w:rPr>
          <w:rFonts w:ascii="Georgia" w:eastAsia="Georgia" w:hAnsi="Georgia" w:cs="Georgia"/>
          <w:sz w:val="22"/>
          <w:szCs w:val="22"/>
        </w:rPr>
      </w:pPr>
      <w:r>
        <w:rPr>
          <w:rFonts w:ascii="Georgia" w:eastAsia="Georgia" w:hAnsi="Georgia" w:cs="Georgia"/>
          <w:sz w:val="22"/>
          <w:szCs w:val="22"/>
        </w:rPr>
        <w:t xml:space="preserve"> </w:t>
      </w:r>
    </w:p>
    <w:sectPr w:rsidR="00276B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B2F"/>
    <w:rsid w:val="00007CDD"/>
    <w:rsid w:val="00276B2F"/>
    <w:rsid w:val="007E6801"/>
    <w:rsid w:val="00994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3D6F"/>
  <w15:docId w15:val="{8F4AC41C-923E-4A51-8E55-AA236B7E2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07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7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8235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212.net/c/link/?t=0&amp;l=en&amp;o=2868957-1&amp;h=3691911311&amp;u=https%3A%2F%2Fprotect-us.mimecast.com%2Fs%2Fhud1CwpELnhjJ6GIBdRgC%3Fdomain%3Dglia.com&amp;a=glia.com" TargetMode="External"/><Relationship Id="rId3" Type="http://schemas.openxmlformats.org/officeDocument/2006/relationships/webSettings" Target="webSettings.xml"/><Relationship Id="rId7" Type="http://schemas.openxmlformats.org/officeDocument/2006/relationships/hyperlink" Target="https://c212.net/c/link/?t=0&amp;l=en&amp;o=2868957-1&amp;h=3983153616&amp;u=https%3A%2F%2Fwww.glia.com%2Fcobrowsing&amp;a=CoBrows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212.net/c/link/?t=0&amp;l=en&amp;o=2868957-1&amp;h=1803687036&amp;u=https%3A%2F%2Fwww.glia.com%2Fvideo-banking&amp;a=video+banking" TargetMode="External"/><Relationship Id="rId5" Type="http://schemas.openxmlformats.org/officeDocument/2006/relationships/hyperlink" Target="https://c212.net/c/link/?t=0&amp;l=en&amp;o=2868957-1&amp;h=3017219392&amp;u=https%3A%2F%2Fwww.glia.com%2Fdigital-customer-service-defined&amp;a=Digital+Customer+Service" TargetMode="External"/><Relationship Id="rId10" Type="http://schemas.openxmlformats.org/officeDocument/2006/relationships/theme" Target="theme/theme1.xml"/><Relationship Id="rId4" Type="http://schemas.openxmlformats.org/officeDocument/2006/relationships/hyperlink" Target="mailto:maggie@williammills.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Wise</dc:creator>
  <cp:lastModifiedBy>Maggie Wise</cp:lastModifiedBy>
  <cp:revision>4</cp:revision>
  <dcterms:created xsi:type="dcterms:W3CDTF">2021-01-14T19:49:00Z</dcterms:created>
  <dcterms:modified xsi:type="dcterms:W3CDTF">2021-01-19T18:56:00Z</dcterms:modified>
</cp:coreProperties>
</file>