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94B83" w14:textId="6642C6A4" w:rsidR="00E43D17" w:rsidRDefault="0097416E" w:rsidP="0097416E">
      <w:pPr>
        <w:spacing w:after="0" w:line="240" w:lineRule="auto"/>
        <w:rPr>
          <w:bCs/>
          <w:iCs/>
        </w:rPr>
      </w:pPr>
      <w:bookmarkStart w:id="0" w:name="_GoBack"/>
      <w:bookmarkEnd w:id="0"/>
      <w:r w:rsidRPr="00F02448">
        <w:rPr>
          <w:rFonts w:ascii="Times New Roman" w:hAnsi="Times New Roman" w:cs="Times New Roman"/>
          <w:noProof/>
          <w:sz w:val="24"/>
          <w:szCs w:val="24"/>
        </w:rPr>
        <w:drawing>
          <wp:inline distT="0" distB="0" distL="0" distR="0" wp14:anchorId="2813292F" wp14:editId="28132930">
            <wp:extent cx="619125" cy="729683"/>
            <wp:effectExtent l="0" t="0" r="0" b="0"/>
            <wp:docPr id="1" name="Picture 1" descr="Financial_Servic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_Services_SM"/>
                    <pic:cNvPicPr>
                      <a:picLocks noChangeAspect="1" noChangeArrowheads="1"/>
                    </pic:cNvPicPr>
                  </pic:nvPicPr>
                  <pic:blipFill>
                    <a:blip r:embed="rId8" cstate="print"/>
                    <a:srcRect/>
                    <a:stretch>
                      <a:fillRect/>
                    </a:stretch>
                  </pic:blipFill>
                  <pic:spPr bwMode="auto">
                    <a:xfrm>
                      <a:off x="0" y="0"/>
                      <a:ext cx="620952" cy="731836"/>
                    </a:xfrm>
                    <a:prstGeom prst="rect">
                      <a:avLst/>
                    </a:prstGeom>
                    <a:noFill/>
                    <a:ln w="9525">
                      <a:noFill/>
                      <a:miter lim="800000"/>
                      <a:headEnd/>
                      <a:tailEnd/>
                    </a:ln>
                  </pic:spPr>
                </pic:pic>
              </a:graphicData>
            </a:graphic>
          </wp:inline>
        </w:drawing>
      </w:r>
    </w:p>
    <w:p w14:paraId="2ACB6A8E" w14:textId="77777777" w:rsidR="00E43D17" w:rsidRPr="00E43D17" w:rsidRDefault="00E43D17" w:rsidP="0097416E">
      <w:pPr>
        <w:spacing w:after="0" w:line="240" w:lineRule="auto"/>
        <w:rPr>
          <w:bCs/>
          <w:iCs/>
        </w:rPr>
      </w:pPr>
    </w:p>
    <w:p w14:paraId="28132905" w14:textId="2D883528" w:rsidR="0020749D" w:rsidRDefault="004176CA" w:rsidP="0097416E">
      <w:pPr>
        <w:spacing w:after="0" w:line="240" w:lineRule="auto"/>
        <w:jc w:val="center"/>
        <w:rPr>
          <w:b/>
          <w:bCs/>
          <w:i/>
          <w:iCs/>
          <w:sz w:val="28"/>
          <w:szCs w:val="28"/>
        </w:rPr>
      </w:pPr>
      <w:r>
        <w:rPr>
          <w:b/>
          <w:bCs/>
          <w:i/>
          <w:iCs/>
          <w:sz w:val="28"/>
          <w:szCs w:val="28"/>
        </w:rPr>
        <w:t xml:space="preserve">CO-OP UNVEILS </w:t>
      </w:r>
      <w:r w:rsidR="00040D13">
        <w:rPr>
          <w:b/>
          <w:bCs/>
          <w:i/>
          <w:iCs/>
          <w:sz w:val="28"/>
          <w:szCs w:val="28"/>
        </w:rPr>
        <w:t>THINK 21 VIRTUAL SERIES</w:t>
      </w:r>
      <w:r w:rsidR="00495120">
        <w:rPr>
          <w:b/>
          <w:bCs/>
          <w:i/>
          <w:iCs/>
          <w:sz w:val="28"/>
          <w:szCs w:val="28"/>
        </w:rPr>
        <w:t xml:space="preserve"> ‘R</w:t>
      </w:r>
      <w:r w:rsidR="00ED495F">
        <w:rPr>
          <w:b/>
          <w:bCs/>
          <w:i/>
          <w:iCs/>
          <w:sz w:val="28"/>
          <w:szCs w:val="28"/>
        </w:rPr>
        <w:t xml:space="preserve">ETHINK </w:t>
      </w:r>
      <w:r w:rsidR="00495120">
        <w:rPr>
          <w:b/>
          <w:bCs/>
          <w:i/>
          <w:iCs/>
          <w:sz w:val="28"/>
          <w:szCs w:val="28"/>
        </w:rPr>
        <w:t>EVERYTHING</w:t>
      </w:r>
      <w:r w:rsidR="00BF2163">
        <w:rPr>
          <w:b/>
          <w:bCs/>
          <w:i/>
          <w:iCs/>
          <w:sz w:val="28"/>
          <w:szCs w:val="28"/>
        </w:rPr>
        <w:t>,</w:t>
      </w:r>
      <w:r w:rsidR="00495120">
        <w:rPr>
          <w:b/>
          <w:bCs/>
          <w:i/>
          <w:iCs/>
          <w:sz w:val="28"/>
          <w:szCs w:val="28"/>
        </w:rPr>
        <w:t>’</w:t>
      </w:r>
    </w:p>
    <w:p w14:paraId="77053A6C" w14:textId="77777777" w:rsidR="004176CA" w:rsidRPr="004176CA" w:rsidRDefault="004176CA" w:rsidP="0097416E">
      <w:pPr>
        <w:spacing w:after="0" w:line="240" w:lineRule="auto"/>
        <w:jc w:val="center"/>
        <w:rPr>
          <w:b/>
          <w:bCs/>
          <w:i/>
          <w:iCs/>
        </w:rPr>
      </w:pPr>
    </w:p>
    <w:p w14:paraId="55AADC94" w14:textId="55C6A0A4" w:rsidR="004176CA" w:rsidRDefault="00ED495F" w:rsidP="0097416E">
      <w:pPr>
        <w:spacing w:after="0" w:line="240" w:lineRule="auto"/>
        <w:jc w:val="center"/>
        <w:rPr>
          <w:b/>
          <w:bCs/>
          <w:i/>
          <w:iCs/>
          <w:sz w:val="28"/>
          <w:szCs w:val="28"/>
        </w:rPr>
      </w:pPr>
      <w:r>
        <w:rPr>
          <w:b/>
          <w:bCs/>
          <w:i/>
          <w:iCs/>
          <w:sz w:val="28"/>
          <w:szCs w:val="28"/>
        </w:rPr>
        <w:t xml:space="preserve">FOCUSING ON </w:t>
      </w:r>
      <w:r w:rsidR="003177DB">
        <w:rPr>
          <w:b/>
          <w:bCs/>
          <w:i/>
          <w:iCs/>
          <w:sz w:val="28"/>
          <w:szCs w:val="28"/>
        </w:rPr>
        <w:t>ADOPTION OF</w:t>
      </w:r>
      <w:r w:rsidR="004F6454">
        <w:rPr>
          <w:b/>
          <w:bCs/>
          <w:i/>
          <w:iCs/>
          <w:sz w:val="28"/>
          <w:szCs w:val="28"/>
        </w:rPr>
        <w:t xml:space="preserve"> </w:t>
      </w:r>
      <w:r w:rsidR="00FC130B">
        <w:rPr>
          <w:b/>
          <w:bCs/>
          <w:i/>
          <w:iCs/>
          <w:sz w:val="28"/>
          <w:szCs w:val="28"/>
        </w:rPr>
        <w:t xml:space="preserve">A </w:t>
      </w:r>
      <w:r w:rsidR="004F6454">
        <w:rPr>
          <w:b/>
          <w:bCs/>
          <w:i/>
          <w:iCs/>
          <w:sz w:val="28"/>
          <w:szCs w:val="28"/>
        </w:rPr>
        <w:t>MEMBER</w:t>
      </w:r>
      <w:r>
        <w:rPr>
          <w:b/>
          <w:bCs/>
          <w:i/>
          <w:iCs/>
          <w:sz w:val="28"/>
          <w:szCs w:val="28"/>
        </w:rPr>
        <w:t>-</w:t>
      </w:r>
      <w:r w:rsidR="004F6454">
        <w:rPr>
          <w:b/>
          <w:bCs/>
          <w:i/>
          <w:iCs/>
          <w:sz w:val="28"/>
          <w:szCs w:val="28"/>
        </w:rPr>
        <w:t>CENTRIC BUSINESS MODEL</w:t>
      </w:r>
    </w:p>
    <w:p w14:paraId="28132906" w14:textId="77777777" w:rsidR="0020749D" w:rsidRPr="0097416E" w:rsidRDefault="0020749D" w:rsidP="0097416E">
      <w:pPr>
        <w:spacing w:after="0" w:line="240" w:lineRule="auto"/>
      </w:pPr>
      <w:r w:rsidRPr="0097416E">
        <w:t xml:space="preserve">                                               </w:t>
      </w:r>
    </w:p>
    <w:p w14:paraId="28132908" w14:textId="122DFBB4" w:rsidR="0020749D" w:rsidRPr="0097416E" w:rsidRDefault="00BF2163" w:rsidP="0097416E">
      <w:pPr>
        <w:spacing w:after="0" w:line="240" w:lineRule="auto"/>
        <w:jc w:val="center"/>
        <w:rPr>
          <w:b/>
          <w:bCs/>
          <w:i/>
          <w:iCs/>
        </w:rPr>
      </w:pPr>
      <w:r>
        <w:rPr>
          <w:b/>
          <w:bCs/>
          <w:i/>
          <w:iCs/>
        </w:rPr>
        <w:t xml:space="preserve">Year-Long </w:t>
      </w:r>
      <w:r w:rsidR="00A66B88">
        <w:rPr>
          <w:b/>
          <w:bCs/>
          <w:i/>
          <w:iCs/>
        </w:rPr>
        <w:t>Event S</w:t>
      </w:r>
      <w:r w:rsidR="00BF74BE">
        <w:rPr>
          <w:b/>
          <w:bCs/>
          <w:i/>
          <w:iCs/>
        </w:rPr>
        <w:t xml:space="preserve">eries </w:t>
      </w:r>
      <w:r w:rsidR="00A66B88">
        <w:rPr>
          <w:b/>
          <w:bCs/>
          <w:i/>
          <w:iCs/>
        </w:rPr>
        <w:t>for Credit Union L</w:t>
      </w:r>
      <w:r w:rsidR="00671331">
        <w:rPr>
          <w:b/>
          <w:bCs/>
          <w:i/>
          <w:iCs/>
        </w:rPr>
        <w:t xml:space="preserve">eaders </w:t>
      </w:r>
      <w:r w:rsidR="00A66B88">
        <w:rPr>
          <w:b/>
          <w:bCs/>
          <w:i/>
          <w:iCs/>
        </w:rPr>
        <w:t>Kicks O</w:t>
      </w:r>
      <w:r w:rsidR="00BF74BE">
        <w:rPr>
          <w:b/>
          <w:bCs/>
          <w:i/>
          <w:iCs/>
        </w:rPr>
        <w:t xml:space="preserve">ff </w:t>
      </w:r>
      <w:r w:rsidR="00A66B88">
        <w:rPr>
          <w:b/>
          <w:bCs/>
          <w:i/>
          <w:iCs/>
        </w:rPr>
        <w:t>April 13</w:t>
      </w:r>
    </w:p>
    <w:p w14:paraId="28132909" w14:textId="77777777" w:rsidR="0020749D" w:rsidRPr="0097416E" w:rsidRDefault="0020749D" w:rsidP="0097416E">
      <w:pPr>
        <w:spacing w:after="0" w:line="240" w:lineRule="auto"/>
      </w:pPr>
    </w:p>
    <w:p w14:paraId="2813290A" w14:textId="455DFD73" w:rsidR="0020749D" w:rsidRPr="0097416E" w:rsidRDefault="0020749D" w:rsidP="0097416E">
      <w:pPr>
        <w:spacing w:after="0" w:line="240" w:lineRule="auto"/>
        <w:rPr>
          <w:b/>
          <w:bCs/>
        </w:rPr>
      </w:pPr>
      <w:r w:rsidRPr="0097416E">
        <w:rPr>
          <w:b/>
          <w:bCs/>
        </w:rPr>
        <w:t xml:space="preserve">For Release on </w:t>
      </w:r>
      <w:r w:rsidR="006E5C0E">
        <w:rPr>
          <w:b/>
          <w:bCs/>
        </w:rPr>
        <w:t>February 16</w:t>
      </w:r>
      <w:r w:rsidRPr="0097416E">
        <w:rPr>
          <w:b/>
          <w:bCs/>
        </w:rPr>
        <w:t>, 20</w:t>
      </w:r>
      <w:r w:rsidR="00EF00C1">
        <w:rPr>
          <w:b/>
          <w:bCs/>
        </w:rPr>
        <w:t>21</w:t>
      </w:r>
      <w:r w:rsidRPr="0097416E">
        <w:rPr>
          <w:b/>
          <w:bCs/>
        </w:rPr>
        <w:t>:</w:t>
      </w:r>
    </w:p>
    <w:p w14:paraId="2813290B" w14:textId="77777777" w:rsidR="0020749D" w:rsidRPr="0097416E" w:rsidRDefault="0020749D" w:rsidP="0097416E">
      <w:pPr>
        <w:spacing w:after="0" w:line="240" w:lineRule="auto"/>
      </w:pPr>
    </w:p>
    <w:p w14:paraId="74030054" w14:textId="400D96B5" w:rsidR="00EF68A9" w:rsidRDefault="0020749D" w:rsidP="0097416E">
      <w:pPr>
        <w:spacing w:after="0" w:line="240" w:lineRule="auto"/>
      </w:pPr>
      <w:r w:rsidRPr="0097416E">
        <w:rPr>
          <w:b/>
          <w:bCs/>
        </w:rPr>
        <w:t>RANCHO CUCAMONGA</w:t>
      </w:r>
      <w:r w:rsidRPr="0097416E">
        <w:t>, Ca</w:t>
      </w:r>
      <w:r w:rsidR="00A66B88">
        <w:t>lif. – THINK</w:t>
      </w:r>
      <w:r w:rsidR="001B13C7">
        <w:t xml:space="preserve">, the </w:t>
      </w:r>
      <w:r w:rsidRPr="0097416E">
        <w:t xml:space="preserve">premier innovation and content platform for credit unions, </w:t>
      </w:r>
      <w:r w:rsidR="00043A48">
        <w:t xml:space="preserve">kicks off its </w:t>
      </w:r>
      <w:r w:rsidR="001721CA">
        <w:t>2021 virtual series</w:t>
      </w:r>
      <w:r w:rsidR="00A66B88">
        <w:t xml:space="preserve"> on April 13</w:t>
      </w:r>
      <w:r w:rsidR="00EF68A9">
        <w:t xml:space="preserve">, continuing the </w:t>
      </w:r>
      <w:r w:rsidR="00EF68A9">
        <w:rPr>
          <w:rFonts w:cstheme="minorHAnsi"/>
          <w:shd w:val="clear" w:color="auto" w:fill="FFFFFF"/>
        </w:rPr>
        <w:t>momentum begun in 2020 when nearly 5,000 credit union leaders attended nine different events.</w:t>
      </w:r>
      <w:r w:rsidR="00495120">
        <w:rPr>
          <w:rFonts w:cstheme="minorHAnsi"/>
          <w:shd w:val="clear" w:color="auto" w:fill="FFFFFF"/>
        </w:rPr>
        <w:t xml:space="preserve"> </w:t>
      </w:r>
      <w:r w:rsidR="00224DA7">
        <w:rPr>
          <w:rFonts w:cstheme="minorHAnsi"/>
          <w:shd w:val="clear" w:color="auto" w:fill="FFFFFF"/>
        </w:rPr>
        <w:t xml:space="preserve">CO-OP will present </w:t>
      </w:r>
      <w:r w:rsidR="00E631AE">
        <w:rPr>
          <w:rFonts w:cstheme="minorHAnsi"/>
          <w:shd w:val="clear" w:color="auto" w:fill="FFFFFF"/>
        </w:rPr>
        <w:t>2021’s</w:t>
      </w:r>
      <w:r w:rsidR="00495120">
        <w:rPr>
          <w:rFonts w:cstheme="minorHAnsi"/>
          <w:shd w:val="clear" w:color="auto" w:fill="FFFFFF"/>
        </w:rPr>
        <w:t xml:space="preserve"> interactive event</w:t>
      </w:r>
      <w:r w:rsidR="00350EC8">
        <w:rPr>
          <w:rFonts w:cstheme="minorHAnsi"/>
          <w:shd w:val="clear" w:color="auto" w:fill="FFFFFF"/>
        </w:rPr>
        <w:t xml:space="preserve">s </w:t>
      </w:r>
      <w:r w:rsidR="00224DA7">
        <w:rPr>
          <w:rFonts w:cstheme="minorHAnsi"/>
          <w:shd w:val="clear" w:color="auto" w:fill="FFFFFF"/>
        </w:rPr>
        <w:t>under the theme</w:t>
      </w:r>
      <w:r w:rsidR="00B074BA">
        <w:rPr>
          <w:rFonts w:cstheme="minorHAnsi"/>
          <w:shd w:val="clear" w:color="auto" w:fill="FFFFFF"/>
        </w:rPr>
        <w:t xml:space="preserve"> “</w:t>
      </w:r>
      <w:r w:rsidR="00350EC8">
        <w:rPr>
          <w:rFonts w:cstheme="minorHAnsi"/>
          <w:shd w:val="clear" w:color="auto" w:fill="FFFFFF"/>
        </w:rPr>
        <w:t>Re</w:t>
      </w:r>
      <w:r w:rsidR="00ED495F">
        <w:rPr>
          <w:rFonts w:cstheme="minorHAnsi"/>
          <w:shd w:val="clear" w:color="auto" w:fill="FFFFFF"/>
        </w:rPr>
        <w:t xml:space="preserve">think </w:t>
      </w:r>
      <w:r w:rsidR="00B074BA">
        <w:rPr>
          <w:rFonts w:cstheme="minorHAnsi"/>
          <w:shd w:val="clear" w:color="auto" w:fill="FFFFFF"/>
        </w:rPr>
        <w:t>Everything,”</w:t>
      </w:r>
      <w:r w:rsidR="00350EC8">
        <w:rPr>
          <w:rFonts w:cstheme="minorHAnsi"/>
          <w:shd w:val="clear" w:color="auto" w:fill="FFFFFF"/>
        </w:rPr>
        <w:t xml:space="preserve"> reflecting</w:t>
      </w:r>
      <w:r w:rsidR="00883ABD">
        <w:rPr>
          <w:rFonts w:cstheme="minorHAnsi"/>
          <w:shd w:val="clear" w:color="auto" w:fill="FFFFFF"/>
        </w:rPr>
        <w:t xml:space="preserve"> the major shift required to </w:t>
      </w:r>
      <w:r w:rsidR="00ED495F">
        <w:rPr>
          <w:rFonts w:cstheme="minorHAnsi"/>
          <w:shd w:val="clear" w:color="auto" w:fill="FFFFFF"/>
        </w:rPr>
        <w:t xml:space="preserve">meet </w:t>
      </w:r>
      <w:r w:rsidR="006A0E9E">
        <w:rPr>
          <w:rFonts w:cstheme="minorHAnsi"/>
          <w:shd w:val="clear" w:color="auto" w:fill="FFFFFF"/>
        </w:rPr>
        <w:t>changes in consumer sentiment</w:t>
      </w:r>
      <w:r w:rsidR="00350EC8">
        <w:rPr>
          <w:rFonts w:cstheme="minorHAnsi"/>
          <w:shd w:val="clear" w:color="auto" w:fill="FFFFFF"/>
        </w:rPr>
        <w:t xml:space="preserve"> </w:t>
      </w:r>
      <w:r w:rsidR="001B65A8">
        <w:rPr>
          <w:rFonts w:cstheme="minorHAnsi"/>
          <w:shd w:val="clear" w:color="auto" w:fill="FFFFFF"/>
        </w:rPr>
        <w:t xml:space="preserve">and expectations </w:t>
      </w:r>
      <w:r w:rsidR="00350EC8">
        <w:rPr>
          <w:rFonts w:cstheme="minorHAnsi"/>
          <w:shd w:val="clear" w:color="auto" w:fill="FFFFFF"/>
        </w:rPr>
        <w:t>since the onset of the pandemic</w:t>
      </w:r>
      <w:r w:rsidR="006A0E9E">
        <w:rPr>
          <w:rFonts w:cstheme="minorHAnsi"/>
          <w:shd w:val="clear" w:color="auto" w:fill="FFFFFF"/>
        </w:rPr>
        <w:t xml:space="preserve">. </w:t>
      </w:r>
      <w:r w:rsidR="00224DA7">
        <w:rPr>
          <w:rFonts w:cstheme="minorHAnsi"/>
          <w:shd w:val="clear" w:color="auto" w:fill="FFFFFF"/>
        </w:rPr>
        <w:t xml:space="preserve"> </w:t>
      </w:r>
    </w:p>
    <w:p w14:paraId="32308E2D" w14:textId="77777777" w:rsidR="00EF68A9" w:rsidRDefault="00EF68A9" w:rsidP="0097416E">
      <w:pPr>
        <w:spacing w:after="0" w:line="240" w:lineRule="auto"/>
      </w:pPr>
    </w:p>
    <w:p w14:paraId="7D0E856C" w14:textId="44C76F06" w:rsidR="003226E5" w:rsidRDefault="00350EC8" w:rsidP="00A462A7">
      <w:pPr>
        <w:spacing w:after="0" w:line="240" w:lineRule="auto"/>
      </w:pPr>
      <w:r>
        <w:t>“THINK Forums” are the main pillars of the 20</w:t>
      </w:r>
      <w:r w:rsidR="001B65A8">
        <w:t>2</w:t>
      </w:r>
      <w:r>
        <w:t>1 program</w:t>
      </w:r>
      <w:r w:rsidR="0053136C">
        <w:t>, hosted once again by consumer finance journalist Jean Chatzky. A</w:t>
      </w:r>
      <w:r>
        <w:t xml:space="preserve">ttendees can register for the </w:t>
      </w:r>
      <w:r w:rsidR="00A462A7">
        <w:t>April 13 Forum</w:t>
      </w:r>
      <w:r w:rsidR="000E65A8">
        <w:t>, “</w:t>
      </w:r>
      <w:r w:rsidR="001B65A8">
        <w:t xml:space="preserve">Rethink </w:t>
      </w:r>
      <w:r w:rsidR="000E65A8">
        <w:t xml:space="preserve">What Drives Your P&amp;L to Unleash Future Growth,” immediately at </w:t>
      </w:r>
      <w:hyperlink r:id="rId9" w:history="1">
        <w:r w:rsidR="00C54A16" w:rsidRPr="00C05AD8">
          <w:rPr>
            <w:rStyle w:val="Hyperlink"/>
          </w:rPr>
          <w:t>https://co-opthink.org</w:t>
        </w:r>
      </w:hyperlink>
      <w:r w:rsidR="00A462A7">
        <w:t xml:space="preserve">. </w:t>
      </w:r>
    </w:p>
    <w:p w14:paraId="59146FD5" w14:textId="77777777" w:rsidR="00FC130B" w:rsidRDefault="00FC130B" w:rsidP="00A462A7">
      <w:pPr>
        <w:spacing w:after="0" w:line="240" w:lineRule="auto"/>
      </w:pPr>
    </w:p>
    <w:p w14:paraId="7904DD75" w14:textId="435DEDF0" w:rsidR="00FC130B" w:rsidRPr="008A5727" w:rsidRDefault="00FC130B" w:rsidP="00FC130B">
      <w:pPr>
        <w:spacing w:after="0" w:line="240" w:lineRule="auto"/>
        <w:rPr>
          <w:rFonts w:asciiTheme="minorHAnsi" w:hAnsiTheme="minorHAnsi"/>
        </w:rPr>
      </w:pPr>
      <w:r w:rsidRPr="008A5727">
        <w:rPr>
          <w:rFonts w:asciiTheme="minorHAnsi" w:hAnsiTheme="minorHAnsi"/>
        </w:rPr>
        <w:t xml:space="preserve">The featured keynote speaker </w:t>
      </w:r>
      <w:r>
        <w:rPr>
          <w:rFonts w:asciiTheme="minorHAnsi" w:hAnsiTheme="minorHAnsi"/>
        </w:rPr>
        <w:t xml:space="preserve">on April 13 </w:t>
      </w:r>
      <w:r w:rsidRPr="008A5727">
        <w:rPr>
          <w:rFonts w:asciiTheme="minorHAnsi" w:hAnsiTheme="minorHAnsi"/>
        </w:rPr>
        <w:t xml:space="preserve">is Steven Kotler, co-author of the 2012 New York Times best-seller, “Abundance: The Future is Better Than You Think.” Kotler will </w:t>
      </w:r>
      <w:r w:rsidRPr="008A5727">
        <w:rPr>
          <w:rFonts w:asciiTheme="minorHAnsi" w:hAnsiTheme="minorHAnsi" w:cstheme="minorHAnsi"/>
        </w:rPr>
        <w:t>discuss how exponential advances in technology have already and will continue to impact our daily lives and society as a whole.</w:t>
      </w:r>
    </w:p>
    <w:p w14:paraId="6C277F71" w14:textId="4A068609" w:rsidR="003226E5" w:rsidRPr="008A5727" w:rsidRDefault="00FC130B" w:rsidP="008A5727">
      <w:pPr>
        <w:spacing w:after="0" w:line="240" w:lineRule="auto"/>
        <w:rPr>
          <w:rFonts w:asciiTheme="minorHAnsi" w:hAnsiTheme="minorHAnsi"/>
          <w:color w:val="000000" w:themeColor="text1"/>
        </w:rPr>
      </w:pPr>
      <w:r>
        <w:rPr>
          <w:rFonts w:asciiTheme="minorHAnsi" w:hAnsiTheme="minorHAnsi" w:cstheme="minorHAnsi"/>
        </w:rPr>
        <w:t xml:space="preserve"> </w:t>
      </w:r>
    </w:p>
    <w:p w14:paraId="25CC34E5" w14:textId="3A35C91C" w:rsidR="008A5727" w:rsidRPr="00675D66" w:rsidRDefault="008A5727" w:rsidP="008A5727">
      <w:pPr>
        <w:pStyle w:val="NormalWeb"/>
        <w:spacing w:before="0" w:beforeAutospacing="0" w:after="0" w:afterAutospacing="0"/>
        <w:ind w:right="720"/>
        <w:rPr>
          <w:rFonts w:asciiTheme="minorHAnsi" w:hAnsiTheme="minorHAnsi"/>
          <w:color w:val="000000" w:themeColor="text1"/>
          <w:sz w:val="22"/>
          <w:szCs w:val="22"/>
        </w:rPr>
      </w:pPr>
      <w:r w:rsidRPr="00675D66">
        <w:rPr>
          <w:rFonts w:asciiTheme="minorHAnsi" w:hAnsiTheme="minorHAnsi"/>
          <w:color w:val="000000" w:themeColor="text1"/>
          <w:sz w:val="22"/>
          <w:szCs w:val="22"/>
          <w:shd w:val="clear" w:color="auto" w:fill="FFFFFF"/>
        </w:rPr>
        <w:t>“As we enter the post</w:t>
      </w:r>
      <w:r w:rsidR="00FC130B" w:rsidRPr="00675D66">
        <w:rPr>
          <w:rFonts w:asciiTheme="minorHAnsi" w:hAnsiTheme="minorHAnsi"/>
          <w:color w:val="000000" w:themeColor="text1"/>
          <w:sz w:val="22"/>
          <w:szCs w:val="22"/>
          <w:shd w:val="clear" w:color="auto" w:fill="FFFFFF"/>
        </w:rPr>
        <w:t xml:space="preserve">-pandemic world, </w:t>
      </w:r>
      <w:r w:rsidR="009D355D" w:rsidRPr="00675D66">
        <w:rPr>
          <w:rFonts w:asciiTheme="minorHAnsi" w:hAnsiTheme="minorHAnsi"/>
          <w:color w:val="000000" w:themeColor="text1"/>
          <w:sz w:val="22"/>
          <w:szCs w:val="22"/>
          <w:shd w:val="clear" w:color="auto" w:fill="FFFFFF"/>
        </w:rPr>
        <w:t xml:space="preserve">where traditional product-centric economic levers are under pressure, </w:t>
      </w:r>
      <w:r w:rsidR="00FC130B" w:rsidRPr="00675D66">
        <w:rPr>
          <w:rFonts w:asciiTheme="minorHAnsi" w:hAnsiTheme="minorHAnsi"/>
          <w:color w:val="000000" w:themeColor="text1"/>
          <w:sz w:val="22"/>
          <w:szCs w:val="22"/>
          <w:shd w:val="clear" w:color="auto" w:fill="FFFFFF"/>
        </w:rPr>
        <w:t>we believe now i</w:t>
      </w:r>
      <w:r w:rsidRPr="00675D66">
        <w:rPr>
          <w:rFonts w:asciiTheme="minorHAnsi" w:hAnsiTheme="minorHAnsi"/>
          <w:color w:val="000000" w:themeColor="text1"/>
          <w:sz w:val="22"/>
          <w:szCs w:val="22"/>
          <w:shd w:val="clear" w:color="auto" w:fill="FFFFFF"/>
        </w:rPr>
        <w:t xml:space="preserve">s the time for credit unions to really </w:t>
      </w:r>
      <w:r w:rsidRPr="00675D66">
        <w:rPr>
          <w:rFonts w:asciiTheme="minorHAnsi" w:hAnsiTheme="minorHAnsi"/>
          <w:iCs/>
          <w:color w:val="000000" w:themeColor="text1"/>
          <w:sz w:val="22"/>
          <w:szCs w:val="22"/>
          <w:shd w:val="clear" w:color="auto" w:fill="FFFFFF"/>
        </w:rPr>
        <w:t>rethink</w:t>
      </w:r>
      <w:r w:rsidR="00FC130B" w:rsidRPr="00675D66">
        <w:rPr>
          <w:rFonts w:asciiTheme="minorHAnsi" w:hAnsiTheme="minorHAnsi"/>
          <w:color w:val="000000" w:themeColor="text1"/>
          <w:sz w:val="22"/>
          <w:szCs w:val="22"/>
          <w:shd w:val="clear" w:color="auto" w:fill="FFFFFF"/>
        </w:rPr>
        <w:t xml:space="preserve"> their business model – to </w:t>
      </w:r>
      <w:r w:rsidRPr="00675D66">
        <w:rPr>
          <w:rFonts w:asciiTheme="minorHAnsi" w:hAnsiTheme="minorHAnsi"/>
          <w:color w:val="000000" w:themeColor="text1"/>
          <w:sz w:val="22"/>
          <w:szCs w:val="22"/>
          <w:shd w:val="clear" w:color="auto" w:fill="FFFFFF"/>
        </w:rPr>
        <w:t>one that’s truly centered on serving members in ways that they want to be served</w:t>
      </w:r>
      <w:r w:rsidR="00FC130B" w:rsidRPr="00675D66">
        <w:rPr>
          <w:rFonts w:asciiTheme="minorHAnsi" w:hAnsiTheme="minorHAnsi"/>
          <w:color w:val="000000" w:themeColor="text1"/>
          <w:sz w:val="22"/>
          <w:szCs w:val="22"/>
          <w:shd w:val="clear" w:color="auto" w:fill="FFFFFF"/>
        </w:rPr>
        <w:t>,” said Samantha Paxson, Chief Experience Officer for CO-OP</w:t>
      </w:r>
      <w:r w:rsidRPr="00675D66">
        <w:rPr>
          <w:rFonts w:asciiTheme="minorHAnsi" w:hAnsiTheme="minorHAnsi"/>
          <w:color w:val="000000" w:themeColor="text1"/>
          <w:sz w:val="22"/>
          <w:szCs w:val="22"/>
          <w:shd w:val="clear" w:color="auto" w:fill="FFFFFF"/>
        </w:rPr>
        <w:t>.</w:t>
      </w:r>
      <w:r w:rsidR="00FC130B" w:rsidRPr="00675D66">
        <w:rPr>
          <w:rFonts w:asciiTheme="minorHAnsi" w:hAnsiTheme="minorHAnsi"/>
          <w:color w:val="000000" w:themeColor="text1"/>
          <w:sz w:val="22"/>
          <w:szCs w:val="22"/>
          <w:shd w:val="clear" w:color="auto" w:fill="FFFFFF"/>
        </w:rPr>
        <w:t xml:space="preserve"> “This will require rethinking our perspective on member relationships, our purpose behind operations and even our basic definition of economic success. The THINK 21 virtual series will present ways credit union leaders can transform their institution into a ‘Business of Member Experience.’”</w:t>
      </w:r>
      <w:r w:rsidRPr="00675D66">
        <w:rPr>
          <w:rFonts w:asciiTheme="minorHAnsi" w:hAnsiTheme="minorHAnsi"/>
          <w:color w:val="000000" w:themeColor="text1"/>
          <w:sz w:val="22"/>
          <w:szCs w:val="22"/>
          <w:shd w:val="clear" w:color="auto" w:fill="FFFFFF"/>
        </w:rPr>
        <w:t xml:space="preserve"> </w:t>
      </w:r>
    </w:p>
    <w:p w14:paraId="3F94C3FE" w14:textId="77777777" w:rsidR="008A5727" w:rsidRPr="00675D66" w:rsidRDefault="008A5727" w:rsidP="00A462A7">
      <w:pPr>
        <w:spacing w:after="0" w:line="240" w:lineRule="auto"/>
        <w:rPr>
          <w:rFonts w:asciiTheme="minorHAnsi" w:hAnsiTheme="minorHAnsi"/>
        </w:rPr>
      </w:pPr>
    </w:p>
    <w:p w14:paraId="650532DA" w14:textId="71D5E0BD" w:rsidR="008D0856" w:rsidRPr="00E43D17" w:rsidRDefault="00E43D17" w:rsidP="0097416E">
      <w:pPr>
        <w:spacing w:after="0" w:line="240" w:lineRule="auto"/>
      </w:pPr>
      <w:r w:rsidRPr="00675D66">
        <w:t xml:space="preserve">Across each of the THINK 21 virtual series events, thought leaders will explore the why and how of several </w:t>
      </w:r>
      <w:r w:rsidR="00FC130B" w:rsidRPr="00675D66">
        <w:t>major shifts</w:t>
      </w:r>
      <w:r w:rsidRPr="00675D66">
        <w:t xml:space="preserve"> necessary for continued growth of the credit union industry. The sessions will explore the fundamental changes in mindset and operations required to reimagine the credit union model and center it on the member experience. </w:t>
      </w:r>
      <w:r w:rsidR="00BC7857" w:rsidRPr="00675D66">
        <w:rPr>
          <w:rFonts w:cstheme="minorHAnsi"/>
          <w:shd w:val="clear" w:color="auto" w:fill="FFFFFF"/>
        </w:rPr>
        <w:t xml:space="preserve">The series </w:t>
      </w:r>
      <w:r w:rsidRPr="00675D66">
        <w:rPr>
          <w:rFonts w:cstheme="minorHAnsi"/>
          <w:shd w:val="clear" w:color="auto" w:fill="FFFFFF"/>
        </w:rPr>
        <w:t>includes</w:t>
      </w:r>
      <w:r w:rsidR="009D355D" w:rsidRPr="00675D66">
        <w:rPr>
          <w:rFonts w:cstheme="minorHAnsi"/>
          <w:shd w:val="clear" w:color="auto" w:fill="FFFFFF"/>
        </w:rPr>
        <w:t xml:space="preserve"> three types of events</w:t>
      </w:r>
      <w:r w:rsidR="00675D66" w:rsidRPr="00675D66">
        <w:rPr>
          <w:rFonts w:cstheme="minorHAnsi"/>
          <w:shd w:val="clear" w:color="auto" w:fill="FFFFFF"/>
        </w:rPr>
        <w:t>,</w:t>
      </w:r>
      <w:r w:rsidR="009D355D" w:rsidRPr="00675D66">
        <w:rPr>
          <w:rFonts w:cstheme="minorHAnsi"/>
          <w:shd w:val="clear" w:color="auto" w:fill="FFFFFF"/>
        </w:rPr>
        <w:t xml:space="preserve"> including</w:t>
      </w:r>
      <w:r w:rsidRPr="00675D66">
        <w:rPr>
          <w:rFonts w:cstheme="minorHAnsi"/>
          <w:shd w:val="clear" w:color="auto" w:fill="FFFFFF"/>
        </w:rPr>
        <w:t xml:space="preserve"> </w:t>
      </w:r>
      <w:r w:rsidR="00BC7857" w:rsidRPr="00675D66">
        <w:rPr>
          <w:rFonts w:cstheme="minorHAnsi"/>
          <w:shd w:val="clear" w:color="auto" w:fill="FFFFFF"/>
        </w:rPr>
        <w:t>Virtual Forums, Master Classes and Power Lunches</w:t>
      </w:r>
      <w:r w:rsidR="008D0856" w:rsidRPr="00675D66">
        <w:rPr>
          <w:rFonts w:cstheme="minorHAnsi"/>
          <w:shd w:val="clear" w:color="auto" w:fill="FFFFFF"/>
        </w:rPr>
        <w:t>:</w:t>
      </w:r>
    </w:p>
    <w:p w14:paraId="0DBC0EA0" w14:textId="5584D000" w:rsidR="008D0856" w:rsidRDefault="008D0856" w:rsidP="008D0856">
      <w:pPr>
        <w:pStyle w:val="NormalWeb"/>
        <w:spacing w:before="0" w:beforeAutospacing="0" w:after="0" w:afterAutospacing="0"/>
        <w:rPr>
          <w:rStyle w:val="Strong"/>
          <w:rFonts w:asciiTheme="minorHAnsi" w:hAnsiTheme="minorHAnsi" w:cs="Helvetica"/>
          <w:color w:val="000000" w:themeColor="text1"/>
          <w:sz w:val="22"/>
          <w:szCs w:val="22"/>
        </w:rPr>
      </w:pPr>
    </w:p>
    <w:p w14:paraId="0289D0A4" w14:textId="2C821CA0" w:rsidR="008D0856" w:rsidRPr="00294163" w:rsidRDefault="008D0856" w:rsidP="008D0856">
      <w:pPr>
        <w:pStyle w:val="NormalWeb"/>
        <w:numPr>
          <w:ilvl w:val="0"/>
          <w:numId w:val="3"/>
        </w:numPr>
        <w:spacing w:before="0" w:beforeAutospacing="0" w:after="0" w:afterAutospacing="0"/>
        <w:rPr>
          <w:rFonts w:asciiTheme="minorHAnsi" w:hAnsiTheme="minorHAnsi" w:cs="Helvetica"/>
          <w:color w:val="000000" w:themeColor="text1"/>
          <w:sz w:val="22"/>
          <w:szCs w:val="22"/>
        </w:rPr>
      </w:pPr>
      <w:r w:rsidRPr="00294163">
        <w:rPr>
          <w:rStyle w:val="Strong"/>
          <w:rFonts w:asciiTheme="minorHAnsi" w:hAnsiTheme="minorHAnsi" w:cs="Helvetica"/>
          <w:color w:val="000000" w:themeColor="text1"/>
          <w:sz w:val="22"/>
          <w:szCs w:val="22"/>
        </w:rPr>
        <w:t>THINK Forums</w:t>
      </w:r>
      <w:r w:rsidRPr="00294163">
        <w:rPr>
          <w:rFonts w:asciiTheme="minorHAnsi" w:hAnsiTheme="minorHAnsi" w:cs="Helvetica"/>
          <w:color w:val="000000" w:themeColor="text1"/>
          <w:sz w:val="22"/>
          <w:szCs w:val="22"/>
        </w:rPr>
        <w:t>: Virtual broadcasts</w:t>
      </w:r>
      <w:r>
        <w:rPr>
          <w:rFonts w:asciiTheme="minorHAnsi" w:hAnsiTheme="minorHAnsi" w:cs="Helvetica"/>
          <w:color w:val="000000" w:themeColor="text1"/>
          <w:sz w:val="22"/>
          <w:szCs w:val="22"/>
        </w:rPr>
        <w:t xml:space="preserve"> designed to address pressing credit union</w:t>
      </w:r>
      <w:r w:rsidRPr="00294163">
        <w:rPr>
          <w:rFonts w:asciiTheme="minorHAnsi" w:hAnsiTheme="minorHAnsi" w:cs="Helvetica"/>
          <w:color w:val="000000" w:themeColor="text1"/>
          <w:sz w:val="22"/>
          <w:szCs w:val="22"/>
        </w:rPr>
        <w:t xml:space="preserve"> challenges an</w:t>
      </w:r>
      <w:r>
        <w:rPr>
          <w:rFonts w:asciiTheme="minorHAnsi" w:hAnsiTheme="minorHAnsi" w:cs="Helvetica"/>
          <w:color w:val="000000" w:themeColor="text1"/>
          <w:sz w:val="22"/>
          <w:szCs w:val="22"/>
        </w:rPr>
        <w:t xml:space="preserve">d opportunities </w:t>
      </w:r>
      <w:r w:rsidR="009D355D">
        <w:rPr>
          <w:rFonts w:asciiTheme="minorHAnsi" w:hAnsiTheme="minorHAnsi" w:cs="Helvetica"/>
          <w:color w:val="000000" w:themeColor="text1"/>
          <w:sz w:val="22"/>
          <w:szCs w:val="22"/>
        </w:rPr>
        <w:t xml:space="preserve">to solve, </w:t>
      </w:r>
      <w:r w:rsidRPr="00675D66">
        <w:rPr>
          <w:rFonts w:asciiTheme="minorHAnsi" w:hAnsiTheme="minorHAnsi" w:cs="Helvetica"/>
          <w:color w:val="000000" w:themeColor="text1"/>
          <w:sz w:val="22"/>
          <w:szCs w:val="22"/>
        </w:rPr>
        <w:t xml:space="preserve">featuring renowned </w:t>
      </w:r>
      <w:r w:rsidR="00312453" w:rsidRPr="00675D66">
        <w:rPr>
          <w:rFonts w:asciiTheme="minorHAnsi" w:hAnsiTheme="minorHAnsi" w:cs="Helvetica"/>
          <w:color w:val="000000" w:themeColor="text1"/>
          <w:sz w:val="22"/>
          <w:szCs w:val="22"/>
        </w:rPr>
        <w:t>companies and leaders f</w:t>
      </w:r>
      <w:r w:rsidRPr="00675D66">
        <w:rPr>
          <w:rFonts w:asciiTheme="minorHAnsi" w:hAnsiTheme="minorHAnsi" w:cs="Helvetica"/>
          <w:color w:val="000000" w:themeColor="text1"/>
          <w:sz w:val="22"/>
          <w:szCs w:val="22"/>
        </w:rPr>
        <w:t xml:space="preserve">rom </w:t>
      </w:r>
      <w:r w:rsidR="00675D66" w:rsidRPr="00675D66">
        <w:rPr>
          <w:rFonts w:asciiTheme="minorHAnsi" w:hAnsiTheme="minorHAnsi" w:cs="Helvetica"/>
          <w:color w:val="000000" w:themeColor="text1"/>
          <w:sz w:val="22"/>
          <w:szCs w:val="22"/>
        </w:rPr>
        <w:t xml:space="preserve">outside the </w:t>
      </w:r>
      <w:r w:rsidRPr="00675D66">
        <w:rPr>
          <w:rFonts w:asciiTheme="minorHAnsi" w:hAnsiTheme="minorHAnsi" w:cs="Helvetica"/>
          <w:color w:val="000000" w:themeColor="text1"/>
          <w:sz w:val="22"/>
          <w:szCs w:val="22"/>
        </w:rPr>
        <w:t>industry</w:t>
      </w:r>
      <w:r w:rsidR="009D355D">
        <w:rPr>
          <w:rFonts w:asciiTheme="minorHAnsi" w:hAnsiTheme="minorHAnsi" w:cs="Helvetica"/>
          <w:color w:val="000000" w:themeColor="text1"/>
          <w:sz w:val="22"/>
          <w:szCs w:val="22"/>
        </w:rPr>
        <w:t xml:space="preserve"> paired with credit union leaders</w:t>
      </w:r>
      <w:r>
        <w:rPr>
          <w:rFonts w:asciiTheme="minorHAnsi" w:hAnsiTheme="minorHAnsi" w:cs="Helvetica"/>
          <w:color w:val="000000" w:themeColor="text1"/>
          <w:sz w:val="22"/>
          <w:szCs w:val="22"/>
        </w:rPr>
        <w:t xml:space="preserve"> (two hours</w:t>
      </w:r>
      <w:r w:rsidRPr="00294163">
        <w:rPr>
          <w:rFonts w:asciiTheme="minorHAnsi" w:hAnsiTheme="minorHAnsi" w:cs="Helvetica"/>
          <w:color w:val="000000" w:themeColor="text1"/>
          <w:sz w:val="22"/>
          <w:szCs w:val="22"/>
        </w:rPr>
        <w:t xml:space="preserve"> each)</w:t>
      </w:r>
      <w:r>
        <w:rPr>
          <w:rFonts w:asciiTheme="minorHAnsi" w:hAnsiTheme="minorHAnsi" w:cs="Helvetica"/>
          <w:color w:val="000000" w:themeColor="text1"/>
          <w:sz w:val="22"/>
          <w:szCs w:val="22"/>
        </w:rPr>
        <w:t>.</w:t>
      </w:r>
    </w:p>
    <w:p w14:paraId="7C15E61C" w14:textId="0B5913E6" w:rsidR="008D0856" w:rsidRPr="00294163" w:rsidRDefault="008D0856" w:rsidP="008D0856">
      <w:pPr>
        <w:numPr>
          <w:ilvl w:val="0"/>
          <w:numId w:val="3"/>
        </w:numPr>
        <w:spacing w:after="0" w:line="240" w:lineRule="auto"/>
        <w:rPr>
          <w:rFonts w:asciiTheme="minorHAnsi" w:eastAsia="Times New Roman" w:hAnsiTheme="minorHAnsi" w:cs="Helvetica"/>
          <w:color w:val="000000" w:themeColor="text1"/>
        </w:rPr>
      </w:pPr>
      <w:r w:rsidRPr="00294163">
        <w:rPr>
          <w:rStyle w:val="Strong"/>
          <w:rFonts w:asciiTheme="minorHAnsi" w:eastAsia="Times New Roman" w:hAnsiTheme="minorHAnsi" w:cs="Helvetica"/>
          <w:color w:val="000000" w:themeColor="text1"/>
        </w:rPr>
        <w:t>THINK Master Classes</w:t>
      </w:r>
      <w:r>
        <w:rPr>
          <w:rFonts w:asciiTheme="minorHAnsi" w:eastAsia="Times New Roman" w:hAnsiTheme="minorHAnsi" w:cs="Helvetica"/>
          <w:color w:val="000000" w:themeColor="text1"/>
        </w:rPr>
        <w:t xml:space="preserve">: </w:t>
      </w:r>
      <w:r w:rsidRPr="00294163">
        <w:rPr>
          <w:rFonts w:asciiTheme="minorHAnsi" w:eastAsia="Times New Roman" w:hAnsiTheme="minorHAnsi" w:cs="Helvetica"/>
          <w:color w:val="000000" w:themeColor="text1"/>
        </w:rPr>
        <w:t>Topic-specific virtual learning opportunities</w:t>
      </w:r>
      <w:r w:rsidR="00675D66">
        <w:rPr>
          <w:rFonts w:asciiTheme="minorHAnsi" w:eastAsia="Times New Roman" w:hAnsiTheme="minorHAnsi" w:cs="Helvetica"/>
          <w:color w:val="000000" w:themeColor="text1"/>
        </w:rPr>
        <w:t xml:space="preserve"> that take THINK F</w:t>
      </w:r>
      <w:r w:rsidR="009D355D">
        <w:rPr>
          <w:rFonts w:asciiTheme="minorHAnsi" w:eastAsia="Times New Roman" w:hAnsiTheme="minorHAnsi" w:cs="Helvetica"/>
          <w:color w:val="000000" w:themeColor="text1"/>
        </w:rPr>
        <w:t>orums a step further</w:t>
      </w:r>
      <w:r>
        <w:rPr>
          <w:rFonts w:asciiTheme="minorHAnsi" w:eastAsia="Times New Roman" w:hAnsiTheme="minorHAnsi" w:cs="Helvetica"/>
          <w:color w:val="000000" w:themeColor="text1"/>
        </w:rPr>
        <w:t>, including hands-</w:t>
      </w:r>
      <w:r w:rsidRPr="00294163">
        <w:rPr>
          <w:rFonts w:asciiTheme="minorHAnsi" w:eastAsia="Times New Roman" w:hAnsiTheme="minorHAnsi" w:cs="Helvetica"/>
          <w:color w:val="000000" w:themeColor="text1"/>
        </w:rPr>
        <w:t>on interactive e</w:t>
      </w:r>
      <w:r>
        <w:rPr>
          <w:rFonts w:asciiTheme="minorHAnsi" w:eastAsia="Times New Roman" w:hAnsiTheme="minorHAnsi" w:cs="Helvetica"/>
          <w:color w:val="000000" w:themeColor="text1"/>
        </w:rPr>
        <w:t>xercises facilitated by</w:t>
      </w:r>
      <w:r w:rsidRPr="00294163">
        <w:rPr>
          <w:rFonts w:asciiTheme="minorHAnsi" w:eastAsia="Times New Roman" w:hAnsiTheme="minorHAnsi" w:cs="Helvetica"/>
          <w:color w:val="000000" w:themeColor="text1"/>
        </w:rPr>
        <w:t xml:space="preserve"> subject matter experts (90 minutes each)</w:t>
      </w:r>
      <w:r>
        <w:rPr>
          <w:rFonts w:asciiTheme="minorHAnsi" w:eastAsia="Times New Roman" w:hAnsiTheme="minorHAnsi" w:cs="Helvetica"/>
          <w:color w:val="000000" w:themeColor="text1"/>
        </w:rPr>
        <w:t xml:space="preserve">. </w:t>
      </w:r>
    </w:p>
    <w:p w14:paraId="6F29CBC3" w14:textId="43C2A6D2" w:rsidR="008D0856" w:rsidRPr="00675D66" w:rsidRDefault="008D0856" w:rsidP="008D0856">
      <w:pPr>
        <w:numPr>
          <w:ilvl w:val="0"/>
          <w:numId w:val="3"/>
        </w:numPr>
        <w:spacing w:after="0" w:line="240" w:lineRule="auto"/>
        <w:rPr>
          <w:rFonts w:asciiTheme="minorHAnsi" w:eastAsia="Times New Roman" w:hAnsiTheme="minorHAnsi" w:cs="Helvetica"/>
          <w:color w:val="000000" w:themeColor="text1"/>
        </w:rPr>
      </w:pPr>
      <w:r w:rsidRPr="00294163">
        <w:rPr>
          <w:rStyle w:val="Strong"/>
          <w:rFonts w:asciiTheme="minorHAnsi" w:eastAsia="Times New Roman" w:hAnsiTheme="minorHAnsi" w:cs="Helvetica"/>
          <w:color w:val="000000" w:themeColor="text1"/>
        </w:rPr>
        <w:lastRenderedPageBreak/>
        <w:t>THINK Power Lunches</w:t>
      </w:r>
      <w:r w:rsidRPr="00294163">
        <w:rPr>
          <w:rFonts w:asciiTheme="minorHAnsi" w:eastAsia="Times New Roman" w:hAnsiTheme="minorHAnsi" w:cs="Helvetica"/>
          <w:color w:val="000000" w:themeColor="text1"/>
        </w:rPr>
        <w:t xml:space="preserve">: Bite-sized virtual deep dives into a </w:t>
      </w:r>
      <w:r w:rsidRPr="00675D66">
        <w:rPr>
          <w:rFonts w:asciiTheme="minorHAnsi" w:eastAsia="Times New Roman" w:hAnsiTheme="minorHAnsi" w:cs="Helvetica"/>
          <w:color w:val="000000" w:themeColor="text1"/>
        </w:rPr>
        <w:t xml:space="preserve">variety of </w:t>
      </w:r>
      <w:r w:rsidR="009D355D" w:rsidRPr="00675D66">
        <w:rPr>
          <w:rFonts w:asciiTheme="minorHAnsi" w:eastAsia="Times New Roman" w:hAnsiTheme="minorHAnsi" w:cs="Helvetica"/>
          <w:color w:val="000000" w:themeColor="text1"/>
        </w:rPr>
        <w:t>product-specific strategies im</w:t>
      </w:r>
      <w:r w:rsidRPr="00675D66">
        <w:rPr>
          <w:rFonts w:asciiTheme="minorHAnsi" w:eastAsia="Times New Roman" w:hAnsiTheme="minorHAnsi" w:cs="Helvetica"/>
          <w:color w:val="000000" w:themeColor="text1"/>
        </w:rPr>
        <w:t>portant to credit unions right now (60 minutes each).</w:t>
      </w:r>
    </w:p>
    <w:p w14:paraId="164EFCC2" w14:textId="77777777" w:rsidR="0053136C" w:rsidRPr="00675D66" w:rsidRDefault="0053136C" w:rsidP="0097416E">
      <w:pPr>
        <w:spacing w:after="0" w:line="240" w:lineRule="auto"/>
      </w:pPr>
    </w:p>
    <w:p w14:paraId="7E679363" w14:textId="50FF4E02" w:rsidR="007C309B" w:rsidRDefault="00BA72BE" w:rsidP="0097416E">
      <w:pPr>
        <w:spacing w:after="0" w:line="240" w:lineRule="auto"/>
      </w:pPr>
      <w:r w:rsidRPr="00675D66">
        <w:t>“</w:t>
      </w:r>
      <w:r w:rsidR="009D355D" w:rsidRPr="00675D66">
        <w:t>Future growth relies on how quickly we can pivot</w:t>
      </w:r>
      <w:r w:rsidR="00267DFE" w:rsidRPr="00675D66">
        <w:t xml:space="preserve">,” said </w:t>
      </w:r>
      <w:r w:rsidR="00E6260F" w:rsidRPr="00675D66">
        <w:t xml:space="preserve">Paxson. </w:t>
      </w:r>
      <w:r w:rsidR="00267DFE" w:rsidRPr="00675D66">
        <w:t>“</w:t>
      </w:r>
      <w:r w:rsidR="007020DD" w:rsidRPr="00675D66">
        <w:rPr>
          <w:rFonts w:cstheme="minorHAnsi"/>
          <w:shd w:val="clear" w:color="auto" w:fill="FFFFFF"/>
        </w:rPr>
        <w:t xml:space="preserve">THINK 21 </w:t>
      </w:r>
      <w:r w:rsidR="00D63890" w:rsidRPr="00675D66">
        <w:rPr>
          <w:rFonts w:cstheme="minorHAnsi"/>
          <w:shd w:val="clear" w:color="auto" w:fill="FFFFFF"/>
        </w:rPr>
        <w:t>continues where THINK 20 left off</w:t>
      </w:r>
      <w:r w:rsidR="00870B73" w:rsidRPr="00675D66">
        <w:rPr>
          <w:rFonts w:cstheme="minorHAnsi"/>
          <w:shd w:val="clear" w:color="auto" w:fill="FFFFFF"/>
        </w:rPr>
        <w:t xml:space="preserve">. </w:t>
      </w:r>
      <w:r w:rsidR="008503D2" w:rsidRPr="00675D66">
        <w:rPr>
          <w:rFonts w:cstheme="minorHAnsi"/>
          <w:shd w:val="clear" w:color="auto" w:fill="FFFFFF"/>
        </w:rPr>
        <w:t>Alongside a group of big thinkers</w:t>
      </w:r>
      <w:r w:rsidR="003F05B4" w:rsidRPr="00675D66">
        <w:rPr>
          <w:rFonts w:cstheme="minorHAnsi"/>
          <w:shd w:val="clear" w:color="auto" w:fill="FFFFFF"/>
        </w:rPr>
        <w:t>, including behavior</w:t>
      </w:r>
      <w:r w:rsidR="009D355D" w:rsidRPr="00675D66">
        <w:rPr>
          <w:rFonts w:cstheme="minorHAnsi"/>
          <w:shd w:val="clear" w:color="auto" w:fill="FFFFFF"/>
        </w:rPr>
        <w:t>al</w:t>
      </w:r>
      <w:r w:rsidR="003F05B4" w:rsidRPr="00675D66">
        <w:rPr>
          <w:rFonts w:cstheme="minorHAnsi"/>
          <w:shd w:val="clear" w:color="auto" w:fill="FFFFFF"/>
        </w:rPr>
        <w:t xml:space="preserve"> economists, </w:t>
      </w:r>
      <w:r w:rsidR="009D355D" w:rsidRPr="00675D66">
        <w:rPr>
          <w:rFonts w:cstheme="minorHAnsi"/>
          <w:shd w:val="clear" w:color="auto" w:fill="FFFFFF"/>
        </w:rPr>
        <w:t xml:space="preserve">performance experts, entrepreneurs and dynamic brands, </w:t>
      </w:r>
      <w:r w:rsidR="00E927AC" w:rsidRPr="00675D66">
        <w:rPr>
          <w:rFonts w:cstheme="minorHAnsi"/>
          <w:shd w:val="clear" w:color="auto" w:fill="FFFFFF"/>
        </w:rPr>
        <w:t xml:space="preserve">we </w:t>
      </w:r>
      <w:r w:rsidR="000C1A23" w:rsidRPr="00675D66">
        <w:rPr>
          <w:rFonts w:cstheme="minorHAnsi"/>
          <w:shd w:val="clear" w:color="auto" w:fill="FFFFFF"/>
        </w:rPr>
        <w:t>plan to</w:t>
      </w:r>
      <w:r w:rsidR="00E927AC" w:rsidRPr="00675D66">
        <w:rPr>
          <w:rFonts w:cstheme="minorHAnsi"/>
          <w:shd w:val="clear" w:color="auto" w:fill="FFFFFF"/>
        </w:rPr>
        <w:t xml:space="preserve"> satisfy </w:t>
      </w:r>
      <w:r w:rsidR="000F1311" w:rsidRPr="00675D66">
        <w:rPr>
          <w:rFonts w:cstheme="minorHAnsi"/>
          <w:shd w:val="clear" w:color="auto" w:fill="FFFFFF"/>
        </w:rPr>
        <w:t>the movement’s</w:t>
      </w:r>
      <w:r w:rsidR="00E927AC" w:rsidRPr="00675D66">
        <w:rPr>
          <w:rFonts w:cstheme="minorHAnsi"/>
          <w:shd w:val="clear" w:color="auto" w:fill="FFFFFF"/>
        </w:rPr>
        <w:t xml:space="preserve"> appetite for </w:t>
      </w:r>
      <w:r w:rsidR="00870B73" w:rsidRPr="00675D66">
        <w:rPr>
          <w:rFonts w:cstheme="minorHAnsi"/>
          <w:shd w:val="clear" w:color="auto" w:fill="FFFFFF"/>
        </w:rPr>
        <w:t>of-the-moment</w:t>
      </w:r>
      <w:r w:rsidR="00C6485B" w:rsidRPr="00675D66">
        <w:rPr>
          <w:rFonts w:cstheme="minorHAnsi"/>
          <w:shd w:val="clear" w:color="auto" w:fill="FFFFFF"/>
        </w:rPr>
        <w:t xml:space="preserve"> </w:t>
      </w:r>
      <w:r w:rsidR="000F1311" w:rsidRPr="00675D66">
        <w:rPr>
          <w:rFonts w:cstheme="minorHAnsi"/>
          <w:shd w:val="clear" w:color="auto" w:fill="FFFFFF"/>
        </w:rPr>
        <w:t xml:space="preserve">strategies </w:t>
      </w:r>
      <w:r w:rsidR="00026B1B" w:rsidRPr="00675D66">
        <w:rPr>
          <w:rFonts w:cstheme="minorHAnsi"/>
          <w:shd w:val="clear" w:color="auto" w:fill="FFFFFF"/>
        </w:rPr>
        <w:t>that will earn</w:t>
      </w:r>
      <w:r w:rsidR="00043A48" w:rsidRPr="00675D66">
        <w:rPr>
          <w:rFonts w:cstheme="minorHAnsi"/>
          <w:shd w:val="clear" w:color="auto" w:fill="FFFFFF"/>
        </w:rPr>
        <w:t xml:space="preserve"> the primary financial relationship with more members</w:t>
      </w:r>
      <w:r w:rsidR="009D355D" w:rsidRPr="00675D66">
        <w:rPr>
          <w:rFonts w:cstheme="minorHAnsi"/>
          <w:shd w:val="clear" w:color="auto" w:fill="FFFFFF"/>
        </w:rPr>
        <w:t xml:space="preserve"> and drive volume and growth</w:t>
      </w:r>
      <w:r w:rsidR="00043A48" w:rsidRPr="00675D66">
        <w:rPr>
          <w:rFonts w:cstheme="minorHAnsi"/>
          <w:shd w:val="clear" w:color="auto" w:fill="FFFFFF"/>
        </w:rPr>
        <w:t>.”</w:t>
      </w:r>
    </w:p>
    <w:p w14:paraId="6F060B2D" w14:textId="55E79FBA" w:rsidR="008D1BCA" w:rsidRDefault="008D1BCA" w:rsidP="0097416E">
      <w:pPr>
        <w:spacing w:after="0" w:line="240" w:lineRule="auto"/>
      </w:pPr>
    </w:p>
    <w:p w14:paraId="45B4B120" w14:textId="6022FDB4" w:rsidR="0053136C" w:rsidRDefault="00BA4C79" w:rsidP="0053136C">
      <w:pPr>
        <w:spacing w:after="0" w:line="240" w:lineRule="auto"/>
      </w:pPr>
      <w:r>
        <w:rPr>
          <w:rFonts w:asciiTheme="minorHAnsi" w:hAnsiTheme="minorHAnsi" w:cs="Helvetica"/>
          <w:color w:val="000000" w:themeColor="text1"/>
        </w:rPr>
        <w:t xml:space="preserve">The THINK </w:t>
      </w:r>
      <w:r w:rsidR="00ED495F">
        <w:rPr>
          <w:rFonts w:asciiTheme="minorHAnsi" w:hAnsiTheme="minorHAnsi" w:cs="Helvetica"/>
          <w:color w:val="000000" w:themeColor="text1"/>
        </w:rPr>
        <w:t xml:space="preserve">21 </w:t>
      </w:r>
      <w:r>
        <w:rPr>
          <w:rFonts w:asciiTheme="minorHAnsi" w:hAnsiTheme="minorHAnsi" w:cs="Helvetica"/>
          <w:color w:val="000000" w:themeColor="text1"/>
        </w:rPr>
        <w:t>Virtual event series will run throughout 2021</w:t>
      </w:r>
      <w:r w:rsidR="00ED495F">
        <w:rPr>
          <w:rFonts w:asciiTheme="minorHAnsi" w:hAnsiTheme="minorHAnsi" w:cs="Helvetica"/>
          <w:color w:val="000000" w:themeColor="text1"/>
        </w:rPr>
        <w:t xml:space="preserve">. </w:t>
      </w:r>
      <w:r w:rsidR="00FC130B">
        <w:rPr>
          <w:rFonts w:asciiTheme="minorHAnsi" w:hAnsiTheme="minorHAnsi" w:cs="Helvetica"/>
          <w:color w:val="000000" w:themeColor="text1"/>
        </w:rPr>
        <w:t>More d</w:t>
      </w:r>
      <w:r w:rsidR="0053136C">
        <w:rPr>
          <w:rFonts w:asciiTheme="minorHAnsi" w:hAnsiTheme="minorHAnsi" w:cs="Helvetica"/>
          <w:color w:val="000000" w:themeColor="text1"/>
        </w:rPr>
        <w:t xml:space="preserve">ates </w:t>
      </w:r>
      <w:r>
        <w:rPr>
          <w:rFonts w:asciiTheme="minorHAnsi" w:hAnsiTheme="minorHAnsi" w:cs="Helvetica"/>
          <w:color w:val="000000" w:themeColor="text1"/>
        </w:rPr>
        <w:t xml:space="preserve">and speakers </w:t>
      </w:r>
      <w:r w:rsidR="00ED495F">
        <w:rPr>
          <w:rFonts w:asciiTheme="minorHAnsi" w:hAnsiTheme="minorHAnsi" w:cs="Helvetica"/>
          <w:color w:val="000000" w:themeColor="text1"/>
        </w:rPr>
        <w:t xml:space="preserve">are to be announced </w:t>
      </w:r>
      <w:r>
        <w:rPr>
          <w:rFonts w:asciiTheme="minorHAnsi" w:hAnsiTheme="minorHAnsi" w:cs="Helvetica"/>
          <w:color w:val="000000" w:themeColor="text1"/>
        </w:rPr>
        <w:t xml:space="preserve">and </w:t>
      </w:r>
      <w:r w:rsidR="0053136C">
        <w:rPr>
          <w:rFonts w:asciiTheme="minorHAnsi" w:hAnsiTheme="minorHAnsi" w:cs="Helvetica"/>
          <w:color w:val="000000" w:themeColor="text1"/>
        </w:rPr>
        <w:t xml:space="preserve">available </w:t>
      </w:r>
      <w:r>
        <w:rPr>
          <w:rFonts w:asciiTheme="minorHAnsi" w:hAnsiTheme="minorHAnsi" w:cs="Helvetica"/>
          <w:color w:val="000000" w:themeColor="text1"/>
        </w:rPr>
        <w:t>at</w:t>
      </w:r>
      <w:r w:rsidR="0053136C">
        <w:rPr>
          <w:rFonts w:asciiTheme="minorHAnsi" w:hAnsiTheme="minorHAnsi" w:cs="Helvetica"/>
          <w:color w:val="000000" w:themeColor="text1"/>
        </w:rPr>
        <w:t xml:space="preserve"> </w:t>
      </w:r>
      <w:hyperlink r:id="rId10" w:history="1">
        <w:r w:rsidR="0053136C" w:rsidRPr="00C05AD8">
          <w:rPr>
            <w:rStyle w:val="Hyperlink"/>
          </w:rPr>
          <w:t>https://co-opthink.org</w:t>
        </w:r>
      </w:hyperlink>
      <w:r w:rsidR="0053136C">
        <w:t xml:space="preserve">. </w:t>
      </w:r>
    </w:p>
    <w:p w14:paraId="39E9497A" w14:textId="77777777" w:rsidR="0053136C" w:rsidRDefault="0053136C" w:rsidP="0097416E">
      <w:pPr>
        <w:spacing w:after="0" w:line="240" w:lineRule="auto"/>
      </w:pPr>
    </w:p>
    <w:p w14:paraId="28132924" w14:textId="757EB458" w:rsidR="0020749D" w:rsidRPr="00D62B48" w:rsidRDefault="00D62B48" w:rsidP="0097416E">
      <w:pPr>
        <w:spacing w:after="0" w:line="240" w:lineRule="auto"/>
        <w:rPr>
          <w:b/>
          <w:bCs/>
        </w:rPr>
      </w:pPr>
      <w:r w:rsidRPr="00D62B48">
        <w:rPr>
          <w:b/>
          <w:bCs/>
        </w:rPr>
        <w:t>Ab</w:t>
      </w:r>
      <w:r w:rsidR="0020749D" w:rsidRPr="00D62B48">
        <w:rPr>
          <w:b/>
          <w:bCs/>
        </w:rPr>
        <w:t>out CO-OP Financial Services</w:t>
      </w:r>
    </w:p>
    <w:p w14:paraId="28132925" w14:textId="77777777" w:rsidR="0020749D" w:rsidRPr="0097416E" w:rsidRDefault="0020749D" w:rsidP="0097416E">
      <w:pPr>
        <w:spacing w:after="0" w:line="240" w:lineRule="auto"/>
      </w:pPr>
      <w:r w:rsidRPr="0097416E">
        <w:br/>
        <w:t>CO-OP Financial Services is a payments and financial technology company whose mission is ensuring the success of the credit union movement. CO-OP payments solutions, engagement services and strategic counsel help credit unions optimize member experiences to consistently provide seamless, personalized multi-channel offerings, while delivering secure, sophisticated fraud mitigation service. For more information, visit</w:t>
      </w:r>
      <w:r w:rsidR="0097416E">
        <w:t xml:space="preserve"> </w:t>
      </w:r>
      <w:hyperlink r:id="rId11" w:history="1">
        <w:r w:rsidR="0097416E" w:rsidRPr="00C05AD8">
          <w:rPr>
            <w:rStyle w:val="Hyperlink"/>
          </w:rPr>
          <w:t>www.co-opfs.org</w:t>
        </w:r>
      </w:hyperlink>
      <w:r w:rsidR="0097416E">
        <w:t>.</w:t>
      </w:r>
      <w:r w:rsidRPr="0097416E">
        <w:t xml:space="preserve"> </w:t>
      </w:r>
    </w:p>
    <w:p w14:paraId="28132926" w14:textId="77777777" w:rsidR="0020749D" w:rsidRPr="0097416E" w:rsidRDefault="0020749D" w:rsidP="0097416E">
      <w:pPr>
        <w:spacing w:after="0" w:line="240" w:lineRule="auto"/>
      </w:pPr>
    </w:p>
    <w:p w14:paraId="28132927" w14:textId="77777777" w:rsidR="0020749D" w:rsidRPr="0097416E" w:rsidRDefault="0020749D" w:rsidP="0097416E">
      <w:pPr>
        <w:spacing w:after="0" w:line="240" w:lineRule="auto"/>
        <w:rPr>
          <w:b/>
          <w:bCs/>
        </w:rPr>
      </w:pPr>
      <w:r w:rsidRPr="0097416E">
        <w:rPr>
          <w:b/>
          <w:bCs/>
        </w:rPr>
        <w:t>Contact:</w:t>
      </w:r>
    </w:p>
    <w:p w14:paraId="28132928" w14:textId="77777777" w:rsidR="0020749D" w:rsidRPr="0097416E" w:rsidRDefault="0020749D" w:rsidP="0097416E">
      <w:pPr>
        <w:spacing w:after="0" w:line="240" w:lineRule="auto"/>
      </w:pPr>
    </w:p>
    <w:p w14:paraId="28132929" w14:textId="77777777" w:rsidR="0020749D" w:rsidRPr="0097416E" w:rsidRDefault="0020749D" w:rsidP="0097416E">
      <w:pPr>
        <w:spacing w:after="0" w:line="240" w:lineRule="auto"/>
      </w:pPr>
      <w:r w:rsidRPr="0097416E">
        <w:t>Bill Prichard, APR, Director, Public Relations</w:t>
      </w:r>
    </w:p>
    <w:p w14:paraId="2813292A" w14:textId="77777777" w:rsidR="0020749D" w:rsidRPr="0097416E" w:rsidRDefault="0020749D" w:rsidP="0097416E">
      <w:pPr>
        <w:spacing w:after="0" w:line="240" w:lineRule="auto"/>
      </w:pPr>
      <w:r w:rsidRPr="0097416E">
        <w:t>CO-OP Financial Services</w:t>
      </w:r>
    </w:p>
    <w:p w14:paraId="2813292B" w14:textId="45B971D4" w:rsidR="0020749D" w:rsidRDefault="00040D13" w:rsidP="0097416E">
      <w:pPr>
        <w:spacing w:after="0" w:line="240" w:lineRule="auto"/>
      </w:pPr>
      <w:r>
        <w:t>(909) 532-9416</w:t>
      </w:r>
    </w:p>
    <w:p w14:paraId="2813292C" w14:textId="77777777" w:rsidR="0097416E" w:rsidRPr="0097416E" w:rsidRDefault="00E22CBB" w:rsidP="0097416E">
      <w:pPr>
        <w:spacing w:after="0" w:line="240" w:lineRule="auto"/>
      </w:pPr>
      <w:hyperlink r:id="rId12" w:history="1">
        <w:r w:rsidR="0097416E" w:rsidRPr="00C05AD8">
          <w:rPr>
            <w:rStyle w:val="Hyperlink"/>
          </w:rPr>
          <w:t>Bill.Prichard@coop.org</w:t>
        </w:r>
      </w:hyperlink>
      <w:r w:rsidR="0097416E">
        <w:t xml:space="preserve"> </w:t>
      </w:r>
    </w:p>
    <w:p w14:paraId="2813292D" w14:textId="77777777" w:rsidR="0020749D" w:rsidRDefault="0020749D" w:rsidP="0097416E">
      <w:pPr>
        <w:spacing w:after="0" w:line="240" w:lineRule="auto"/>
      </w:pPr>
    </w:p>
    <w:p w14:paraId="2813292E" w14:textId="5870FCE4" w:rsidR="00DD1E2E" w:rsidRPr="0097416E" w:rsidRDefault="00C54A16" w:rsidP="00C54A16">
      <w:pPr>
        <w:spacing w:after="0" w:line="240" w:lineRule="auto"/>
        <w:jc w:val="center"/>
      </w:pPr>
      <w:r>
        <w:t>-####-</w:t>
      </w:r>
    </w:p>
    <w:sectPr w:rsidR="00DD1E2E" w:rsidRPr="0097416E" w:rsidSect="0097416E">
      <w:footerReference w:type="default" r:id="rId13"/>
      <w:pgSz w:w="12240" w:h="15840"/>
      <w:pgMar w:top="1440" w:right="144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D94D" w14:textId="77777777" w:rsidR="00E22CBB" w:rsidRDefault="00E22CBB" w:rsidP="0097416E">
      <w:pPr>
        <w:spacing w:after="0" w:line="240" w:lineRule="auto"/>
      </w:pPr>
      <w:r>
        <w:separator/>
      </w:r>
    </w:p>
  </w:endnote>
  <w:endnote w:type="continuationSeparator" w:id="0">
    <w:p w14:paraId="49F7022F" w14:textId="77777777" w:rsidR="00E22CBB" w:rsidRDefault="00E22CBB" w:rsidP="0097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36508"/>
      <w:docPartObj>
        <w:docPartGallery w:val="Page Numbers (Bottom of Page)"/>
        <w:docPartUnique/>
      </w:docPartObj>
    </w:sdtPr>
    <w:sdtEndPr>
      <w:rPr>
        <w:rFonts w:asciiTheme="minorHAnsi" w:hAnsiTheme="minorHAnsi"/>
        <w:noProof/>
      </w:rPr>
    </w:sdtEndPr>
    <w:sdtContent>
      <w:p w14:paraId="28132935" w14:textId="77777777" w:rsidR="0097416E" w:rsidRPr="0097416E" w:rsidRDefault="0097416E">
        <w:pPr>
          <w:pStyle w:val="Footer"/>
          <w:jc w:val="center"/>
          <w:rPr>
            <w:rFonts w:asciiTheme="minorHAnsi" w:hAnsiTheme="minorHAnsi"/>
          </w:rPr>
        </w:pPr>
        <w:r w:rsidRPr="0097416E">
          <w:rPr>
            <w:rFonts w:asciiTheme="minorHAnsi" w:hAnsiTheme="minorHAnsi"/>
          </w:rPr>
          <w:fldChar w:fldCharType="begin"/>
        </w:r>
        <w:r w:rsidRPr="0097416E">
          <w:rPr>
            <w:rFonts w:asciiTheme="minorHAnsi" w:hAnsiTheme="minorHAnsi"/>
          </w:rPr>
          <w:instrText xml:space="preserve"> PAGE   \* MERGEFORMAT </w:instrText>
        </w:r>
        <w:r w:rsidRPr="0097416E">
          <w:rPr>
            <w:rFonts w:asciiTheme="minorHAnsi" w:hAnsiTheme="minorHAnsi"/>
          </w:rPr>
          <w:fldChar w:fldCharType="separate"/>
        </w:r>
        <w:r w:rsidR="00E22CBB">
          <w:rPr>
            <w:rFonts w:asciiTheme="minorHAnsi" w:hAnsiTheme="minorHAnsi"/>
            <w:noProof/>
          </w:rPr>
          <w:t>1</w:t>
        </w:r>
        <w:r w:rsidRPr="0097416E">
          <w:rPr>
            <w:rFonts w:asciiTheme="minorHAnsi" w:hAnsiTheme="minorHAnsi"/>
            <w:noProof/>
          </w:rPr>
          <w:fldChar w:fldCharType="end"/>
        </w:r>
      </w:p>
    </w:sdtContent>
  </w:sdt>
  <w:p w14:paraId="28132936" w14:textId="77777777" w:rsidR="0097416E" w:rsidRDefault="0097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9976" w14:textId="77777777" w:rsidR="00E22CBB" w:rsidRDefault="00E22CBB" w:rsidP="0097416E">
      <w:pPr>
        <w:spacing w:after="0" w:line="240" w:lineRule="auto"/>
      </w:pPr>
      <w:r>
        <w:separator/>
      </w:r>
    </w:p>
  </w:footnote>
  <w:footnote w:type="continuationSeparator" w:id="0">
    <w:p w14:paraId="2DA7784D" w14:textId="77777777" w:rsidR="00E22CBB" w:rsidRDefault="00E22CBB" w:rsidP="0097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D29"/>
    <w:multiLevelType w:val="hybridMultilevel"/>
    <w:tmpl w:val="E1D0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82C35"/>
    <w:multiLevelType w:val="hybridMultilevel"/>
    <w:tmpl w:val="766E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360AB8"/>
    <w:multiLevelType w:val="multilevel"/>
    <w:tmpl w:val="E92A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9D"/>
    <w:rsid w:val="0002184C"/>
    <w:rsid w:val="00024812"/>
    <w:rsid w:val="00026280"/>
    <w:rsid w:val="00026B1B"/>
    <w:rsid w:val="00040D13"/>
    <w:rsid w:val="00043A48"/>
    <w:rsid w:val="00050512"/>
    <w:rsid w:val="00054D99"/>
    <w:rsid w:val="00055F8F"/>
    <w:rsid w:val="00084AE2"/>
    <w:rsid w:val="000900CC"/>
    <w:rsid w:val="000938D3"/>
    <w:rsid w:val="000C1A23"/>
    <w:rsid w:val="000C4611"/>
    <w:rsid w:val="000C6BB7"/>
    <w:rsid w:val="000E65A8"/>
    <w:rsid w:val="000F0A50"/>
    <w:rsid w:val="000F1311"/>
    <w:rsid w:val="0012151B"/>
    <w:rsid w:val="00146D25"/>
    <w:rsid w:val="00150A5C"/>
    <w:rsid w:val="00165017"/>
    <w:rsid w:val="001721CA"/>
    <w:rsid w:val="00175B74"/>
    <w:rsid w:val="001A3387"/>
    <w:rsid w:val="001B13C7"/>
    <w:rsid w:val="001B65A8"/>
    <w:rsid w:val="001F63E2"/>
    <w:rsid w:val="0020749D"/>
    <w:rsid w:val="00207FA0"/>
    <w:rsid w:val="00213EB5"/>
    <w:rsid w:val="00224DA7"/>
    <w:rsid w:val="00241FDF"/>
    <w:rsid w:val="00250325"/>
    <w:rsid w:val="00267DFE"/>
    <w:rsid w:val="002A4AB0"/>
    <w:rsid w:val="002D0739"/>
    <w:rsid w:val="002D4973"/>
    <w:rsid w:val="002E065C"/>
    <w:rsid w:val="002E6BE8"/>
    <w:rsid w:val="002E7D8C"/>
    <w:rsid w:val="00312453"/>
    <w:rsid w:val="00314ECF"/>
    <w:rsid w:val="003177DB"/>
    <w:rsid w:val="003226E5"/>
    <w:rsid w:val="00350EC8"/>
    <w:rsid w:val="00387C0D"/>
    <w:rsid w:val="003906F5"/>
    <w:rsid w:val="0039147F"/>
    <w:rsid w:val="00396812"/>
    <w:rsid w:val="003B4C73"/>
    <w:rsid w:val="003F05B4"/>
    <w:rsid w:val="004176CA"/>
    <w:rsid w:val="00417806"/>
    <w:rsid w:val="0044557D"/>
    <w:rsid w:val="00457289"/>
    <w:rsid w:val="0046328A"/>
    <w:rsid w:val="00483680"/>
    <w:rsid w:val="00495120"/>
    <w:rsid w:val="004A0230"/>
    <w:rsid w:val="004B684E"/>
    <w:rsid w:val="004E07FA"/>
    <w:rsid w:val="004E1E20"/>
    <w:rsid w:val="004F6454"/>
    <w:rsid w:val="0053136C"/>
    <w:rsid w:val="00537CBB"/>
    <w:rsid w:val="00597D50"/>
    <w:rsid w:val="005A322E"/>
    <w:rsid w:val="006203B3"/>
    <w:rsid w:val="00671331"/>
    <w:rsid w:val="00675D66"/>
    <w:rsid w:val="006A0E9E"/>
    <w:rsid w:val="006B0D7E"/>
    <w:rsid w:val="006B19A8"/>
    <w:rsid w:val="006C2C3C"/>
    <w:rsid w:val="006C38B6"/>
    <w:rsid w:val="006C5B99"/>
    <w:rsid w:val="006E5C0E"/>
    <w:rsid w:val="007020DD"/>
    <w:rsid w:val="007157DF"/>
    <w:rsid w:val="00741056"/>
    <w:rsid w:val="00770648"/>
    <w:rsid w:val="00784577"/>
    <w:rsid w:val="007C309B"/>
    <w:rsid w:val="007D5C29"/>
    <w:rsid w:val="008503D2"/>
    <w:rsid w:val="00852FEF"/>
    <w:rsid w:val="008600D3"/>
    <w:rsid w:val="00870B73"/>
    <w:rsid w:val="00883ABD"/>
    <w:rsid w:val="008A5727"/>
    <w:rsid w:val="008D0856"/>
    <w:rsid w:val="008D1BCA"/>
    <w:rsid w:val="00947C63"/>
    <w:rsid w:val="009529C3"/>
    <w:rsid w:val="0097416E"/>
    <w:rsid w:val="00976C2E"/>
    <w:rsid w:val="00987021"/>
    <w:rsid w:val="009A716A"/>
    <w:rsid w:val="009D355D"/>
    <w:rsid w:val="009F2AFE"/>
    <w:rsid w:val="00A00CD0"/>
    <w:rsid w:val="00A25DB6"/>
    <w:rsid w:val="00A462A7"/>
    <w:rsid w:val="00A55A3F"/>
    <w:rsid w:val="00A56569"/>
    <w:rsid w:val="00A66B88"/>
    <w:rsid w:val="00A86AC2"/>
    <w:rsid w:val="00B03143"/>
    <w:rsid w:val="00B074BA"/>
    <w:rsid w:val="00B14707"/>
    <w:rsid w:val="00B229DF"/>
    <w:rsid w:val="00BA4C79"/>
    <w:rsid w:val="00BA72BE"/>
    <w:rsid w:val="00BB79FC"/>
    <w:rsid w:val="00BC7857"/>
    <w:rsid w:val="00BF2163"/>
    <w:rsid w:val="00BF74BE"/>
    <w:rsid w:val="00C11A95"/>
    <w:rsid w:val="00C12047"/>
    <w:rsid w:val="00C14904"/>
    <w:rsid w:val="00C26338"/>
    <w:rsid w:val="00C32365"/>
    <w:rsid w:val="00C54A16"/>
    <w:rsid w:val="00C6485B"/>
    <w:rsid w:val="00CB55AA"/>
    <w:rsid w:val="00CF03B0"/>
    <w:rsid w:val="00CF763F"/>
    <w:rsid w:val="00D10792"/>
    <w:rsid w:val="00D31404"/>
    <w:rsid w:val="00D43507"/>
    <w:rsid w:val="00D62B48"/>
    <w:rsid w:val="00D63890"/>
    <w:rsid w:val="00DD1E2E"/>
    <w:rsid w:val="00E0440C"/>
    <w:rsid w:val="00E22CBB"/>
    <w:rsid w:val="00E43D17"/>
    <w:rsid w:val="00E6260F"/>
    <w:rsid w:val="00E631AE"/>
    <w:rsid w:val="00E927AC"/>
    <w:rsid w:val="00EC6453"/>
    <w:rsid w:val="00ED495F"/>
    <w:rsid w:val="00EE09C8"/>
    <w:rsid w:val="00EE621A"/>
    <w:rsid w:val="00EF00C1"/>
    <w:rsid w:val="00EF68A9"/>
    <w:rsid w:val="00F021E6"/>
    <w:rsid w:val="00F07284"/>
    <w:rsid w:val="00F15039"/>
    <w:rsid w:val="00F74780"/>
    <w:rsid w:val="00F77B56"/>
    <w:rsid w:val="00FC130B"/>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2903"/>
  <w15:chartTrackingRefBased/>
  <w15:docId w15:val="{EB4186CA-16A4-4001-BE62-4AE8E91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9D"/>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9D"/>
    <w:rPr>
      <w:color w:val="0563C1"/>
      <w:u w:val="single"/>
    </w:rPr>
  </w:style>
  <w:style w:type="character" w:customStyle="1" w:styleId="a-size-large">
    <w:name w:val="a-size-large"/>
    <w:basedOn w:val="DefaultParagraphFont"/>
    <w:rsid w:val="0020749D"/>
  </w:style>
  <w:style w:type="character" w:customStyle="1" w:styleId="lt-line-clampline">
    <w:name w:val="lt-line-clamp__line"/>
    <w:basedOn w:val="DefaultParagraphFont"/>
    <w:rsid w:val="0020749D"/>
  </w:style>
  <w:style w:type="paragraph" w:styleId="Header">
    <w:name w:val="header"/>
    <w:basedOn w:val="Normal"/>
    <w:link w:val="HeaderChar"/>
    <w:uiPriority w:val="99"/>
    <w:unhideWhenUsed/>
    <w:rsid w:val="0097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6E"/>
    <w:rPr>
      <w:rFonts w:ascii="Calibri" w:hAnsi="Calibri" w:cs="Calibri"/>
    </w:rPr>
  </w:style>
  <w:style w:type="paragraph" w:styleId="Footer">
    <w:name w:val="footer"/>
    <w:basedOn w:val="Normal"/>
    <w:link w:val="FooterChar"/>
    <w:uiPriority w:val="99"/>
    <w:unhideWhenUsed/>
    <w:rsid w:val="0097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6E"/>
    <w:rPr>
      <w:rFonts w:ascii="Calibri" w:hAnsi="Calibri" w:cs="Calibri"/>
    </w:rPr>
  </w:style>
  <w:style w:type="character" w:styleId="FollowedHyperlink">
    <w:name w:val="FollowedHyperlink"/>
    <w:basedOn w:val="DefaultParagraphFont"/>
    <w:uiPriority w:val="99"/>
    <w:semiHidden/>
    <w:unhideWhenUsed/>
    <w:rsid w:val="0097416E"/>
    <w:rPr>
      <w:color w:val="954F72" w:themeColor="followedHyperlink"/>
      <w:u w:val="single"/>
    </w:rPr>
  </w:style>
  <w:style w:type="paragraph" w:styleId="BalloonText">
    <w:name w:val="Balloon Text"/>
    <w:basedOn w:val="Normal"/>
    <w:link w:val="BalloonTextChar"/>
    <w:uiPriority w:val="99"/>
    <w:semiHidden/>
    <w:unhideWhenUsed/>
    <w:rsid w:val="00A86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C2"/>
    <w:rPr>
      <w:rFonts w:ascii="Segoe UI" w:hAnsi="Segoe UI" w:cs="Segoe UI"/>
      <w:sz w:val="18"/>
      <w:szCs w:val="18"/>
    </w:rPr>
  </w:style>
  <w:style w:type="paragraph" w:styleId="NormalWeb">
    <w:name w:val="Normal (Web)"/>
    <w:basedOn w:val="Normal"/>
    <w:uiPriority w:val="99"/>
    <w:unhideWhenUsed/>
    <w:rsid w:val="008D0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856"/>
    <w:rPr>
      <w:b/>
      <w:bCs/>
    </w:rPr>
  </w:style>
  <w:style w:type="character" w:styleId="CommentReference">
    <w:name w:val="annotation reference"/>
    <w:basedOn w:val="DefaultParagraphFont"/>
    <w:uiPriority w:val="99"/>
    <w:semiHidden/>
    <w:unhideWhenUsed/>
    <w:rsid w:val="004F6454"/>
    <w:rPr>
      <w:sz w:val="16"/>
      <w:szCs w:val="16"/>
    </w:rPr>
  </w:style>
  <w:style w:type="paragraph" w:styleId="CommentText">
    <w:name w:val="annotation text"/>
    <w:basedOn w:val="Normal"/>
    <w:link w:val="CommentTextChar"/>
    <w:uiPriority w:val="99"/>
    <w:semiHidden/>
    <w:unhideWhenUsed/>
    <w:rsid w:val="004F6454"/>
    <w:pPr>
      <w:spacing w:line="240" w:lineRule="auto"/>
    </w:pPr>
    <w:rPr>
      <w:sz w:val="20"/>
      <w:szCs w:val="20"/>
    </w:rPr>
  </w:style>
  <w:style w:type="character" w:customStyle="1" w:styleId="CommentTextChar">
    <w:name w:val="Comment Text Char"/>
    <w:basedOn w:val="DefaultParagraphFont"/>
    <w:link w:val="CommentText"/>
    <w:uiPriority w:val="99"/>
    <w:semiHidden/>
    <w:rsid w:val="004F645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6454"/>
    <w:rPr>
      <w:b/>
      <w:bCs/>
    </w:rPr>
  </w:style>
  <w:style w:type="character" w:customStyle="1" w:styleId="CommentSubjectChar">
    <w:name w:val="Comment Subject Char"/>
    <w:basedOn w:val="CommentTextChar"/>
    <w:link w:val="CommentSubject"/>
    <w:uiPriority w:val="99"/>
    <w:semiHidden/>
    <w:rsid w:val="004F645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815">
      <w:bodyDiv w:val="1"/>
      <w:marLeft w:val="0"/>
      <w:marRight w:val="0"/>
      <w:marTop w:val="0"/>
      <w:marBottom w:val="0"/>
      <w:divBdr>
        <w:top w:val="none" w:sz="0" w:space="0" w:color="auto"/>
        <w:left w:val="none" w:sz="0" w:space="0" w:color="auto"/>
        <w:bottom w:val="none" w:sz="0" w:space="0" w:color="auto"/>
        <w:right w:val="none" w:sz="0" w:space="0" w:color="auto"/>
      </w:divBdr>
    </w:div>
    <w:div w:id="11239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Prichard@coo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pf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opthink.org" TargetMode="External"/><Relationship Id="rId4" Type="http://schemas.openxmlformats.org/officeDocument/2006/relationships/settings" Target="settings.xml"/><Relationship Id="rId9" Type="http://schemas.openxmlformats.org/officeDocument/2006/relationships/hyperlink" Target="https://co-opthi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28B4-D720-4DF3-9ADD-39D6ECE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CO-OP Financial Services</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Edwards</dc:creator>
  <cp:keywords/>
  <dc:description/>
  <cp:lastModifiedBy>Bill Prichard</cp:lastModifiedBy>
  <cp:revision>2</cp:revision>
  <cp:lastPrinted>2019-10-29T14:44:00Z</cp:lastPrinted>
  <dcterms:created xsi:type="dcterms:W3CDTF">2021-02-12T15:19:00Z</dcterms:created>
  <dcterms:modified xsi:type="dcterms:W3CDTF">2021-02-12T15:19:00Z</dcterms:modified>
</cp:coreProperties>
</file>