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7C16" w14:textId="3F05429D" w:rsidR="006C087C" w:rsidRPr="00261CE3" w:rsidRDefault="00EB011B" w:rsidP="00261CE3">
      <w:pPr>
        <w:pStyle w:val="paragraph"/>
        <w:spacing w:before="0" w:beforeAutospacing="0" w:after="0" w:afterAutospacing="0"/>
        <w:jc w:val="center"/>
        <w:textAlignment w:val="baseline"/>
        <w:rPr>
          <w:rStyle w:val="normaltextrun"/>
          <w:b/>
          <w:bCs/>
          <w:sz w:val="22"/>
          <w:szCs w:val="22"/>
        </w:rPr>
      </w:pPr>
      <w:r w:rsidRPr="00261CE3">
        <w:rPr>
          <w:rStyle w:val="normaltextrun"/>
          <w:b/>
          <w:bCs/>
          <w:sz w:val="22"/>
          <w:szCs w:val="22"/>
        </w:rPr>
        <w:t xml:space="preserve">CuneXus </w:t>
      </w:r>
      <w:r w:rsidR="006C087C" w:rsidRPr="00261CE3">
        <w:rPr>
          <w:rStyle w:val="normaltextrun"/>
          <w:b/>
          <w:bCs/>
          <w:sz w:val="22"/>
          <w:szCs w:val="22"/>
        </w:rPr>
        <w:t>Sees Record Growth in 202</w:t>
      </w:r>
      <w:r w:rsidR="000821BF" w:rsidRPr="00261CE3">
        <w:rPr>
          <w:rStyle w:val="normaltextrun"/>
          <w:b/>
          <w:bCs/>
          <w:sz w:val="22"/>
          <w:szCs w:val="22"/>
        </w:rPr>
        <w:t>1, Sig</w:t>
      </w:r>
      <w:r w:rsidR="00090581" w:rsidRPr="00261CE3">
        <w:rPr>
          <w:rStyle w:val="normaltextrun"/>
          <w:b/>
          <w:bCs/>
          <w:sz w:val="22"/>
          <w:szCs w:val="22"/>
        </w:rPr>
        <w:t>ns</w:t>
      </w:r>
      <w:r w:rsidR="000821BF" w:rsidRPr="00261CE3">
        <w:rPr>
          <w:rStyle w:val="normaltextrun"/>
          <w:b/>
          <w:bCs/>
          <w:sz w:val="22"/>
          <w:szCs w:val="22"/>
        </w:rPr>
        <w:t xml:space="preserve"> 43 New Financial Institutions</w:t>
      </w:r>
    </w:p>
    <w:p w14:paraId="7AE4404B" w14:textId="58AA7803" w:rsidR="005C0162" w:rsidRPr="00261CE3" w:rsidRDefault="00122758" w:rsidP="00261CE3">
      <w:pPr>
        <w:pStyle w:val="paragraph"/>
        <w:spacing w:before="0" w:beforeAutospacing="0" w:after="0" w:afterAutospacing="0"/>
        <w:jc w:val="center"/>
        <w:textAlignment w:val="baseline"/>
        <w:rPr>
          <w:rFonts w:eastAsia="Calibri"/>
          <w:i/>
          <w:iCs/>
          <w:color w:val="444444"/>
          <w:sz w:val="22"/>
          <w:szCs w:val="22"/>
        </w:rPr>
      </w:pPr>
      <w:r w:rsidRPr="00261CE3">
        <w:rPr>
          <w:rFonts w:eastAsia="Calibri"/>
          <w:i/>
          <w:iCs/>
          <w:color w:val="444444"/>
          <w:sz w:val="22"/>
          <w:szCs w:val="22"/>
        </w:rPr>
        <w:t>Uptick in customer acquisition, strategic</w:t>
      </w:r>
      <w:r w:rsidR="00BE0ED2" w:rsidRPr="00261CE3">
        <w:rPr>
          <w:rFonts w:eastAsia="Calibri"/>
          <w:i/>
          <w:iCs/>
          <w:color w:val="444444"/>
          <w:sz w:val="22"/>
          <w:szCs w:val="22"/>
        </w:rPr>
        <w:t xml:space="preserve"> collaborations,</w:t>
      </w:r>
      <w:r w:rsidRPr="00261CE3">
        <w:rPr>
          <w:rFonts w:eastAsia="Calibri"/>
          <w:i/>
          <w:iCs/>
          <w:color w:val="444444"/>
          <w:sz w:val="22"/>
          <w:szCs w:val="22"/>
        </w:rPr>
        <w:t xml:space="preserve"> and</w:t>
      </w:r>
      <w:r w:rsidR="00BE0ED2" w:rsidRPr="00261CE3">
        <w:rPr>
          <w:rFonts w:eastAsia="Calibri"/>
          <w:i/>
          <w:iCs/>
          <w:color w:val="444444"/>
          <w:sz w:val="22"/>
          <w:szCs w:val="22"/>
        </w:rPr>
        <w:t xml:space="preserve"> </w:t>
      </w:r>
      <w:r w:rsidRPr="00261CE3">
        <w:rPr>
          <w:rFonts w:eastAsia="Calibri"/>
          <w:i/>
          <w:iCs/>
          <w:color w:val="444444"/>
          <w:sz w:val="22"/>
          <w:szCs w:val="22"/>
        </w:rPr>
        <w:t>new credit monitoring tool</w:t>
      </w:r>
      <w:r w:rsidR="00BE0ED2" w:rsidRPr="00261CE3">
        <w:rPr>
          <w:rFonts w:eastAsia="Calibri"/>
          <w:i/>
          <w:iCs/>
          <w:color w:val="444444"/>
          <w:sz w:val="22"/>
          <w:szCs w:val="22"/>
        </w:rPr>
        <w:t xml:space="preserve"> contribute to strong growth trajectory for 2022</w:t>
      </w:r>
    </w:p>
    <w:p w14:paraId="1309D15E" w14:textId="77777777" w:rsidR="005C0162" w:rsidRPr="00261CE3" w:rsidRDefault="005C0162" w:rsidP="00261CE3">
      <w:pPr>
        <w:pStyle w:val="paragraph"/>
        <w:shd w:val="clear" w:color="auto" w:fill="FFFFFF"/>
        <w:spacing w:before="0" w:beforeAutospacing="0" w:after="0" w:afterAutospacing="0"/>
        <w:textAlignment w:val="baseline"/>
        <w:rPr>
          <w:rStyle w:val="normaltextrun"/>
          <w:b/>
          <w:bCs/>
          <w:sz w:val="22"/>
          <w:szCs w:val="22"/>
        </w:rPr>
      </w:pPr>
    </w:p>
    <w:p w14:paraId="312DCF19" w14:textId="69F84364" w:rsidR="006E4A2A" w:rsidRDefault="005C0162" w:rsidP="00261CE3">
      <w:pPr>
        <w:pStyle w:val="paragraph"/>
        <w:shd w:val="clear" w:color="auto" w:fill="FFFFFF" w:themeFill="background1"/>
        <w:spacing w:before="0" w:beforeAutospacing="0" w:after="0" w:afterAutospacing="0"/>
        <w:jc w:val="both"/>
        <w:textAlignment w:val="baseline"/>
        <w:rPr>
          <w:rStyle w:val="normaltextrun"/>
          <w:sz w:val="22"/>
          <w:szCs w:val="22"/>
        </w:rPr>
      </w:pPr>
      <w:r w:rsidRPr="00261CE3">
        <w:rPr>
          <w:rStyle w:val="normaltextrun"/>
          <w:b/>
          <w:bCs/>
          <w:sz w:val="22"/>
          <w:szCs w:val="22"/>
        </w:rPr>
        <w:t>Santa Rosa, Calif. – </w:t>
      </w:r>
      <w:r w:rsidR="00474E10" w:rsidRPr="00261CE3">
        <w:rPr>
          <w:rStyle w:val="normaltextrun"/>
          <w:b/>
          <w:bCs/>
          <w:sz w:val="22"/>
          <w:szCs w:val="22"/>
        </w:rPr>
        <w:t>Jan</w:t>
      </w:r>
      <w:r w:rsidR="00F77570" w:rsidRPr="00261CE3">
        <w:rPr>
          <w:rStyle w:val="normaltextrun"/>
          <w:b/>
          <w:bCs/>
          <w:sz w:val="22"/>
          <w:szCs w:val="22"/>
        </w:rPr>
        <w:t xml:space="preserve">. </w:t>
      </w:r>
      <w:r w:rsidR="00E562D7" w:rsidRPr="00261CE3">
        <w:rPr>
          <w:rStyle w:val="normaltextrun"/>
          <w:b/>
          <w:bCs/>
          <w:sz w:val="22"/>
          <w:szCs w:val="22"/>
        </w:rPr>
        <w:t>11</w:t>
      </w:r>
      <w:r w:rsidRPr="00261CE3">
        <w:rPr>
          <w:rStyle w:val="normaltextrun"/>
          <w:b/>
          <w:bCs/>
          <w:sz w:val="22"/>
          <w:szCs w:val="22"/>
        </w:rPr>
        <w:t>, 202</w:t>
      </w:r>
      <w:r w:rsidR="00474E10" w:rsidRPr="00261CE3">
        <w:rPr>
          <w:rStyle w:val="normaltextrun"/>
          <w:b/>
          <w:bCs/>
          <w:sz w:val="22"/>
          <w:szCs w:val="22"/>
        </w:rPr>
        <w:t>2</w:t>
      </w:r>
      <w:r w:rsidRPr="00261CE3">
        <w:rPr>
          <w:rStyle w:val="normaltextrun"/>
          <w:sz w:val="22"/>
          <w:szCs w:val="22"/>
        </w:rPr>
        <w:t> – </w:t>
      </w:r>
      <w:hyperlink r:id="rId8" w:history="1">
        <w:proofErr w:type="spellStart"/>
        <w:r w:rsidRPr="004E081A">
          <w:rPr>
            <w:rStyle w:val="Hyperlink"/>
            <w:sz w:val="22"/>
            <w:szCs w:val="22"/>
          </w:rPr>
          <w:t>CuneXus</w:t>
        </w:r>
        <w:proofErr w:type="spellEnd"/>
      </w:hyperlink>
      <w:r w:rsidRPr="00261CE3">
        <w:rPr>
          <w:rStyle w:val="normaltextrun"/>
          <w:sz w:val="22"/>
          <w:szCs w:val="22"/>
        </w:rPr>
        <w:t>, </w:t>
      </w:r>
      <w:r w:rsidRPr="00261CE3">
        <w:rPr>
          <w:rStyle w:val="normaltextrun"/>
          <w:color w:val="000000" w:themeColor="text1"/>
          <w:sz w:val="22"/>
          <w:szCs w:val="22"/>
        </w:rPr>
        <w:t>the first and only digital storefront for financial institutions’</w:t>
      </w:r>
      <w:r w:rsidR="00150E88" w:rsidRPr="00261CE3">
        <w:rPr>
          <w:rStyle w:val="normaltextrun"/>
          <w:color w:val="000000" w:themeColor="text1"/>
          <w:sz w:val="22"/>
          <w:szCs w:val="22"/>
        </w:rPr>
        <w:t xml:space="preserve"> </w:t>
      </w:r>
      <w:r w:rsidR="5E233743" w:rsidRPr="00261CE3">
        <w:rPr>
          <w:rStyle w:val="normaltextrun"/>
          <w:color w:val="000000" w:themeColor="text1"/>
          <w:sz w:val="22"/>
          <w:szCs w:val="22"/>
        </w:rPr>
        <w:t>account holders</w:t>
      </w:r>
      <w:r w:rsidRPr="00261CE3">
        <w:rPr>
          <w:rStyle w:val="normaltextrun"/>
          <w:color w:val="000000" w:themeColor="text1"/>
          <w:sz w:val="22"/>
          <w:szCs w:val="22"/>
        </w:rPr>
        <w:t>, </w:t>
      </w:r>
      <w:r w:rsidR="00143347" w:rsidRPr="00261CE3">
        <w:rPr>
          <w:rStyle w:val="normaltextrun"/>
          <w:sz w:val="22"/>
          <w:szCs w:val="22"/>
        </w:rPr>
        <w:t>saw</w:t>
      </w:r>
      <w:r w:rsidR="005309F3" w:rsidRPr="00261CE3">
        <w:rPr>
          <w:rStyle w:val="normaltextrun"/>
          <w:sz w:val="22"/>
          <w:szCs w:val="22"/>
        </w:rPr>
        <w:t xml:space="preserve"> its largest year </w:t>
      </w:r>
      <w:r w:rsidR="003E2D63" w:rsidRPr="00261CE3">
        <w:rPr>
          <w:rStyle w:val="normaltextrun"/>
          <w:sz w:val="22"/>
          <w:szCs w:val="22"/>
        </w:rPr>
        <w:t>to date</w:t>
      </w:r>
      <w:r w:rsidR="005309F3" w:rsidRPr="00261CE3">
        <w:rPr>
          <w:rStyle w:val="normaltextrun"/>
          <w:sz w:val="22"/>
          <w:szCs w:val="22"/>
        </w:rPr>
        <w:t xml:space="preserve"> in 2021, </w:t>
      </w:r>
      <w:r w:rsidR="00150E88" w:rsidRPr="00261CE3">
        <w:rPr>
          <w:rStyle w:val="normaltextrun"/>
          <w:sz w:val="22"/>
          <w:szCs w:val="22"/>
        </w:rPr>
        <w:t>securing</w:t>
      </w:r>
      <w:r w:rsidR="005309F3" w:rsidRPr="00261CE3">
        <w:rPr>
          <w:rStyle w:val="normaltextrun"/>
          <w:sz w:val="22"/>
          <w:szCs w:val="22"/>
        </w:rPr>
        <w:t xml:space="preserve"> 43 new </w:t>
      </w:r>
      <w:r w:rsidR="00B73927" w:rsidRPr="00261CE3">
        <w:rPr>
          <w:rStyle w:val="normaltextrun"/>
          <w:sz w:val="22"/>
          <w:szCs w:val="22"/>
        </w:rPr>
        <w:t>financial institution</w:t>
      </w:r>
      <w:r w:rsidR="00143347" w:rsidRPr="00261CE3">
        <w:rPr>
          <w:rStyle w:val="normaltextrun"/>
          <w:sz w:val="22"/>
          <w:szCs w:val="22"/>
        </w:rPr>
        <w:t xml:space="preserve"> clients</w:t>
      </w:r>
      <w:r w:rsidR="005309F3" w:rsidRPr="00261CE3">
        <w:rPr>
          <w:rStyle w:val="normaltextrun"/>
          <w:sz w:val="22"/>
          <w:szCs w:val="22"/>
        </w:rPr>
        <w:t xml:space="preserve">, </w:t>
      </w:r>
      <w:r w:rsidR="00B73927" w:rsidRPr="00261CE3">
        <w:rPr>
          <w:rStyle w:val="normaltextrun"/>
          <w:sz w:val="22"/>
          <w:szCs w:val="22"/>
        </w:rPr>
        <w:t>representing</w:t>
      </w:r>
      <w:r w:rsidR="005309F3" w:rsidRPr="00261CE3">
        <w:rPr>
          <w:rStyle w:val="normaltextrun"/>
          <w:sz w:val="22"/>
          <w:szCs w:val="22"/>
        </w:rPr>
        <w:t xml:space="preserve"> </w:t>
      </w:r>
      <w:r w:rsidR="00B73927" w:rsidRPr="00261CE3">
        <w:rPr>
          <w:rStyle w:val="normaltextrun"/>
          <w:sz w:val="22"/>
          <w:szCs w:val="22"/>
        </w:rPr>
        <w:t>$</w:t>
      </w:r>
      <w:r w:rsidR="005309F3" w:rsidRPr="00261CE3">
        <w:rPr>
          <w:rStyle w:val="normaltextrun"/>
          <w:sz w:val="22"/>
          <w:szCs w:val="22"/>
        </w:rPr>
        <w:t>10</w:t>
      </w:r>
      <w:r w:rsidR="00D71170" w:rsidRPr="00261CE3">
        <w:rPr>
          <w:rStyle w:val="normaltextrun"/>
          <w:sz w:val="22"/>
          <w:szCs w:val="22"/>
        </w:rPr>
        <w:t>2.3</w:t>
      </w:r>
      <w:r w:rsidR="005309F3" w:rsidRPr="00261CE3">
        <w:rPr>
          <w:rStyle w:val="normaltextrun"/>
          <w:sz w:val="22"/>
          <w:szCs w:val="22"/>
        </w:rPr>
        <w:t xml:space="preserve"> billion in assets</w:t>
      </w:r>
      <w:r w:rsidR="00B73927" w:rsidRPr="00261CE3">
        <w:rPr>
          <w:rStyle w:val="normaltextrun"/>
          <w:sz w:val="22"/>
          <w:szCs w:val="22"/>
        </w:rPr>
        <w:t xml:space="preserve"> and </w:t>
      </w:r>
      <w:r w:rsidR="00D71170" w:rsidRPr="00261CE3">
        <w:rPr>
          <w:rStyle w:val="normaltextrun"/>
          <w:sz w:val="22"/>
          <w:szCs w:val="22"/>
        </w:rPr>
        <w:t>6.2</w:t>
      </w:r>
      <w:r w:rsidR="00B73927" w:rsidRPr="00261CE3">
        <w:rPr>
          <w:rStyle w:val="normaltextrun"/>
          <w:sz w:val="22"/>
          <w:szCs w:val="22"/>
        </w:rPr>
        <w:t xml:space="preserve"> million </w:t>
      </w:r>
      <w:r w:rsidR="00612870" w:rsidRPr="00261CE3">
        <w:rPr>
          <w:rStyle w:val="normaltextrun"/>
          <w:sz w:val="22"/>
          <w:szCs w:val="22"/>
        </w:rPr>
        <w:t>customers.</w:t>
      </w:r>
      <w:r w:rsidR="005309F3" w:rsidRPr="00261CE3">
        <w:rPr>
          <w:rStyle w:val="normaltextrun"/>
          <w:sz w:val="22"/>
          <w:szCs w:val="22"/>
        </w:rPr>
        <w:t xml:space="preserve"> </w:t>
      </w:r>
    </w:p>
    <w:p w14:paraId="65B77FC2" w14:textId="77777777" w:rsidR="00261CE3" w:rsidRPr="00261CE3" w:rsidRDefault="00261CE3" w:rsidP="00261CE3">
      <w:pPr>
        <w:pStyle w:val="paragraph"/>
        <w:shd w:val="clear" w:color="auto" w:fill="FFFFFF" w:themeFill="background1"/>
        <w:spacing w:before="0" w:beforeAutospacing="0" w:after="0" w:afterAutospacing="0"/>
        <w:jc w:val="both"/>
        <w:textAlignment w:val="baseline"/>
        <w:rPr>
          <w:rStyle w:val="normaltextrun"/>
          <w:sz w:val="22"/>
          <w:szCs w:val="22"/>
        </w:rPr>
      </w:pPr>
    </w:p>
    <w:p w14:paraId="6B7BB994" w14:textId="4BAD2844" w:rsidR="4F629EB2" w:rsidRDefault="006E4A2A" w:rsidP="00261CE3">
      <w:pPr>
        <w:pStyle w:val="paragraph"/>
        <w:shd w:val="clear" w:color="auto" w:fill="FFFFFF" w:themeFill="background1"/>
        <w:spacing w:before="0" w:beforeAutospacing="0" w:after="0" w:afterAutospacing="0"/>
        <w:jc w:val="both"/>
        <w:textAlignment w:val="baseline"/>
        <w:rPr>
          <w:rStyle w:val="normaltextrun"/>
          <w:sz w:val="22"/>
          <w:szCs w:val="22"/>
        </w:rPr>
      </w:pPr>
      <w:r w:rsidRPr="00261CE3">
        <w:rPr>
          <w:rStyle w:val="normaltextrun"/>
          <w:sz w:val="22"/>
          <w:szCs w:val="22"/>
        </w:rPr>
        <w:t xml:space="preserve">The company’s mission is to transform consumer lending by </w:t>
      </w:r>
      <w:r w:rsidR="00C22A8B" w:rsidRPr="00261CE3">
        <w:rPr>
          <w:rStyle w:val="normaltextrun"/>
          <w:sz w:val="22"/>
          <w:szCs w:val="22"/>
        </w:rPr>
        <w:t xml:space="preserve">enabling </w:t>
      </w:r>
      <w:r w:rsidRPr="00261CE3">
        <w:rPr>
          <w:rStyle w:val="normaltextrun"/>
          <w:sz w:val="22"/>
          <w:szCs w:val="22"/>
        </w:rPr>
        <w:t xml:space="preserve">lenders to deliver </w:t>
      </w:r>
      <w:r w:rsidR="00C258E5" w:rsidRPr="00261CE3">
        <w:rPr>
          <w:rStyle w:val="normaltextrun"/>
          <w:sz w:val="22"/>
          <w:szCs w:val="22"/>
        </w:rPr>
        <w:t>a</w:t>
      </w:r>
      <w:r w:rsidR="009912BF" w:rsidRPr="00261CE3">
        <w:rPr>
          <w:rStyle w:val="normaltextrun"/>
          <w:sz w:val="22"/>
          <w:szCs w:val="22"/>
        </w:rPr>
        <w:t xml:space="preserve">n </w:t>
      </w:r>
      <w:r w:rsidRPr="00261CE3">
        <w:rPr>
          <w:rStyle w:val="normaltextrun"/>
          <w:sz w:val="22"/>
          <w:szCs w:val="22"/>
        </w:rPr>
        <w:t>automated</w:t>
      </w:r>
      <w:r w:rsidR="00C22A8B" w:rsidRPr="00261CE3">
        <w:rPr>
          <w:rStyle w:val="normaltextrun"/>
          <w:sz w:val="22"/>
          <w:szCs w:val="22"/>
        </w:rPr>
        <w:t xml:space="preserve"> and personalized </w:t>
      </w:r>
      <w:r w:rsidR="0063061B" w:rsidRPr="00261CE3">
        <w:rPr>
          <w:rStyle w:val="normaltextrun"/>
          <w:sz w:val="22"/>
          <w:szCs w:val="22"/>
        </w:rPr>
        <w:t>digital</w:t>
      </w:r>
      <w:r w:rsidRPr="00261CE3">
        <w:rPr>
          <w:rStyle w:val="normaltextrun"/>
          <w:sz w:val="22"/>
          <w:szCs w:val="22"/>
        </w:rPr>
        <w:t xml:space="preserve"> </w:t>
      </w:r>
      <w:r w:rsidR="00F8470E" w:rsidRPr="00261CE3">
        <w:rPr>
          <w:rStyle w:val="normaltextrun"/>
          <w:sz w:val="22"/>
          <w:szCs w:val="22"/>
        </w:rPr>
        <w:t xml:space="preserve">borrowing </w:t>
      </w:r>
      <w:r w:rsidRPr="00261CE3">
        <w:rPr>
          <w:rStyle w:val="normaltextrun"/>
          <w:sz w:val="22"/>
          <w:szCs w:val="22"/>
        </w:rPr>
        <w:t>experience</w:t>
      </w:r>
      <w:r w:rsidR="00C22A8B" w:rsidRPr="00261CE3">
        <w:rPr>
          <w:rStyle w:val="normaltextrun"/>
          <w:sz w:val="22"/>
          <w:szCs w:val="22"/>
        </w:rPr>
        <w:t xml:space="preserve">, </w:t>
      </w:r>
      <w:r w:rsidRPr="00261CE3">
        <w:rPr>
          <w:rStyle w:val="normaltextrun"/>
          <w:sz w:val="22"/>
          <w:szCs w:val="22"/>
        </w:rPr>
        <w:t>while increasing loan volume and revenue.</w:t>
      </w:r>
    </w:p>
    <w:p w14:paraId="4CEEA87F" w14:textId="77777777" w:rsidR="00261CE3" w:rsidRPr="00261CE3" w:rsidRDefault="00261CE3" w:rsidP="00261CE3">
      <w:pPr>
        <w:pStyle w:val="paragraph"/>
        <w:shd w:val="clear" w:color="auto" w:fill="FFFFFF" w:themeFill="background1"/>
        <w:spacing w:before="0" w:beforeAutospacing="0" w:after="0" w:afterAutospacing="0"/>
        <w:jc w:val="both"/>
        <w:textAlignment w:val="baseline"/>
        <w:rPr>
          <w:rStyle w:val="normaltextrun"/>
          <w:sz w:val="22"/>
          <w:szCs w:val="22"/>
        </w:rPr>
      </w:pPr>
    </w:p>
    <w:p w14:paraId="4498DCB9" w14:textId="7AC2EA46" w:rsidR="00F53A0B" w:rsidRDefault="00D71170" w:rsidP="00261CE3">
      <w:pPr>
        <w:pStyle w:val="paragraph"/>
        <w:shd w:val="clear" w:color="auto" w:fill="FFFFFF" w:themeFill="background1"/>
        <w:spacing w:before="0" w:beforeAutospacing="0" w:after="0" w:afterAutospacing="0"/>
        <w:jc w:val="both"/>
        <w:textAlignment w:val="baseline"/>
        <w:rPr>
          <w:rStyle w:val="normaltextrun"/>
          <w:sz w:val="22"/>
          <w:szCs w:val="22"/>
        </w:rPr>
      </w:pPr>
      <w:r w:rsidRPr="00261CE3">
        <w:rPr>
          <w:rStyle w:val="normaltextrun"/>
          <w:sz w:val="22"/>
          <w:szCs w:val="22"/>
        </w:rPr>
        <w:t xml:space="preserve">In 2021, CuneXus </w:t>
      </w:r>
      <w:r w:rsidR="00F53A0B" w:rsidRPr="00261CE3">
        <w:rPr>
          <w:rStyle w:val="normaltextrun"/>
          <w:sz w:val="22"/>
          <w:szCs w:val="22"/>
        </w:rPr>
        <w:t>forged new strategic partnerships with companies like Equifax, Origence, Sync1</w:t>
      </w:r>
      <w:r w:rsidR="00690B61" w:rsidRPr="00261CE3">
        <w:rPr>
          <w:rStyle w:val="normaltextrun"/>
          <w:sz w:val="22"/>
          <w:szCs w:val="22"/>
        </w:rPr>
        <w:t xml:space="preserve"> Systems</w:t>
      </w:r>
      <w:r w:rsidR="00F53A0B" w:rsidRPr="00261CE3">
        <w:rPr>
          <w:rStyle w:val="normaltextrun"/>
          <w:sz w:val="22"/>
          <w:szCs w:val="22"/>
        </w:rPr>
        <w:t xml:space="preserve"> and </w:t>
      </w:r>
      <w:proofErr w:type="spellStart"/>
      <w:r w:rsidR="00F53A0B" w:rsidRPr="00261CE3">
        <w:rPr>
          <w:rStyle w:val="normaltextrun"/>
          <w:sz w:val="22"/>
          <w:szCs w:val="22"/>
        </w:rPr>
        <w:t>Lumin</w:t>
      </w:r>
      <w:proofErr w:type="spellEnd"/>
      <w:r w:rsidR="00F53A0B" w:rsidRPr="00261CE3">
        <w:rPr>
          <w:rStyle w:val="normaltextrun"/>
          <w:sz w:val="22"/>
          <w:szCs w:val="22"/>
        </w:rPr>
        <w:t>, while receiving continued support from long-term partners</w:t>
      </w:r>
      <w:r w:rsidR="00CC0C98" w:rsidRPr="00261CE3">
        <w:rPr>
          <w:rStyle w:val="normaltextrun"/>
          <w:sz w:val="22"/>
          <w:szCs w:val="22"/>
        </w:rPr>
        <w:t xml:space="preserve">, </w:t>
      </w:r>
      <w:r w:rsidR="00F53A0B" w:rsidRPr="00261CE3">
        <w:rPr>
          <w:rStyle w:val="normaltextrun"/>
          <w:sz w:val="22"/>
          <w:szCs w:val="22"/>
        </w:rPr>
        <w:t>TransUnion, Q2</w:t>
      </w:r>
      <w:r w:rsidRPr="00261CE3">
        <w:rPr>
          <w:rStyle w:val="normaltextrun"/>
          <w:sz w:val="22"/>
          <w:szCs w:val="22"/>
        </w:rPr>
        <w:t xml:space="preserve">, </w:t>
      </w:r>
      <w:r w:rsidR="00F92A36" w:rsidRPr="00261CE3">
        <w:rPr>
          <w:rStyle w:val="normaltextrun"/>
          <w:sz w:val="22"/>
          <w:szCs w:val="22"/>
        </w:rPr>
        <w:t xml:space="preserve">Pulsate, </w:t>
      </w:r>
      <w:proofErr w:type="spellStart"/>
      <w:r w:rsidRPr="00261CE3">
        <w:rPr>
          <w:rStyle w:val="normaltextrun"/>
          <w:sz w:val="22"/>
          <w:szCs w:val="22"/>
        </w:rPr>
        <w:t>MeridianLink</w:t>
      </w:r>
      <w:proofErr w:type="spellEnd"/>
      <w:r w:rsidR="00F53A0B" w:rsidRPr="00261CE3">
        <w:rPr>
          <w:rStyle w:val="normaltextrun"/>
          <w:sz w:val="22"/>
          <w:szCs w:val="22"/>
        </w:rPr>
        <w:t xml:space="preserve"> and many others</w:t>
      </w:r>
      <w:r w:rsidRPr="00261CE3">
        <w:rPr>
          <w:rStyle w:val="normaltextrun"/>
          <w:sz w:val="22"/>
          <w:szCs w:val="22"/>
        </w:rPr>
        <w:t>.</w:t>
      </w:r>
    </w:p>
    <w:p w14:paraId="22A26CFA" w14:textId="77777777" w:rsidR="00261CE3" w:rsidRPr="00261CE3" w:rsidRDefault="00261CE3" w:rsidP="00261CE3">
      <w:pPr>
        <w:pStyle w:val="paragraph"/>
        <w:shd w:val="clear" w:color="auto" w:fill="FFFFFF" w:themeFill="background1"/>
        <w:spacing w:before="0" w:beforeAutospacing="0" w:after="0" w:afterAutospacing="0"/>
        <w:jc w:val="both"/>
        <w:textAlignment w:val="baseline"/>
        <w:rPr>
          <w:rStyle w:val="normaltextrun"/>
          <w:sz w:val="22"/>
          <w:szCs w:val="22"/>
        </w:rPr>
      </w:pPr>
    </w:p>
    <w:p w14:paraId="35CC6799" w14:textId="4C3B7BE0" w:rsidR="4F629EB2" w:rsidRDefault="009D34D3" w:rsidP="00261CE3">
      <w:pPr>
        <w:pStyle w:val="paragraph"/>
        <w:shd w:val="clear" w:color="auto" w:fill="FFFFFF" w:themeFill="background1"/>
        <w:spacing w:before="0" w:beforeAutospacing="0" w:after="0" w:afterAutospacing="0"/>
        <w:jc w:val="both"/>
        <w:textAlignment w:val="baseline"/>
        <w:rPr>
          <w:rStyle w:val="normaltextrun"/>
          <w:sz w:val="22"/>
          <w:szCs w:val="22"/>
        </w:rPr>
      </w:pPr>
      <w:r w:rsidRPr="00261CE3">
        <w:rPr>
          <w:rStyle w:val="normaltextrun"/>
          <w:sz w:val="22"/>
          <w:szCs w:val="22"/>
        </w:rPr>
        <w:t>CuneXus also entered the financial wellness market in 2021, announcing a new, real-time, credit monitoring tool available for financial institutions and end-users embedded within the CuneXus storefront.</w:t>
      </w:r>
      <w:r w:rsidRPr="00261CE3">
        <w:rPr>
          <w:sz w:val="22"/>
          <w:szCs w:val="22"/>
        </w:rPr>
        <w:t xml:space="preserve"> </w:t>
      </w:r>
      <w:r w:rsidRPr="00261CE3">
        <w:rPr>
          <w:rStyle w:val="normaltextrun"/>
          <w:sz w:val="22"/>
          <w:szCs w:val="22"/>
        </w:rPr>
        <w:t>The new product provides financial institutions’ account holders with a more consistent and seamless digital experience by displaying their credit scores within their existing storefront, eliminating the need to monitor them elsewhere.</w:t>
      </w:r>
    </w:p>
    <w:p w14:paraId="210C1E0A" w14:textId="77777777" w:rsidR="00261CE3" w:rsidRPr="00261CE3" w:rsidRDefault="00261CE3" w:rsidP="00261CE3">
      <w:pPr>
        <w:pStyle w:val="paragraph"/>
        <w:shd w:val="clear" w:color="auto" w:fill="FFFFFF" w:themeFill="background1"/>
        <w:spacing w:before="0" w:beforeAutospacing="0" w:after="0" w:afterAutospacing="0"/>
        <w:jc w:val="both"/>
        <w:textAlignment w:val="baseline"/>
        <w:rPr>
          <w:rStyle w:val="normaltextrun"/>
          <w:sz w:val="22"/>
          <w:szCs w:val="22"/>
        </w:rPr>
      </w:pPr>
    </w:p>
    <w:p w14:paraId="11509EB2" w14:textId="68E91B0E" w:rsidR="4F629EB2" w:rsidRDefault="00EB3E1B" w:rsidP="00261CE3">
      <w:pPr>
        <w:pStyle w:val="paragraph"/>
        <w:shd w:val="clear" w:color="auto" w:fill="FFFFFF" w:themeFill="background1"/>
        <w:spacing w:before="0" w:beforeAutospacing="0" w:after="0" w:afterAutospacing="0"/>
        <w:jc w:val="both"/>
        <w:textAlignment w:val="baseline"/>
        <w:rPr>
          <w:rStyle w:val="normaltextrun"/>
          <w:sz w:val="22"/>
          <w:szCs w:val="22"/>
        </w:rPr>
      </w:pPr>
      <w:r w:rsidRPr="00261CE3">
        <w:rPr>
          <w:rStyle w:val="normaltextrun"/>
          <w:sz w:val="22"/>
          <w:szCs w:val="22"/>
        </w:rPr>
        <w:t xml:space="preserve">Steve </w:t>
      </w:r>
      <w:proofErr w:type="spellStart"/>
      <w:r w:rsidRPr="00261CE3">
        <w:rPr>
          <w:rStyle w:val="normaltextrun"/>
          <w:sz w:val="22"/>
          <w:szCs w:val="22"/>
        </w:rPr>
        <w:t>Glonchak</w:t>
      </w:r>
      <w:proofErr w:type="spellEnd"/>
      <w:r w:rsidRPr="00261CE3">
        <w:rPr>
          <w:rStyle w:val="normaltextrun"/>
          <w:sz w:val="22"/>
          <w:szCs w:val="22"/>
        </w:rPr>
        <w:t xml:space="preserve">, the newest member of </w:t>
      </w:r>
      <w:r w:rsidR="00D71170" w:rsidRPr="00261CE3">
        <w:rPr>
          <w:rStyle w:val="normaltextrun"/>
          <w:sz w:val="22"/>
          <w:szCs w:val="22"/>
        </w:rPr>
        <w:t xml:space="preserve">the </w:t>
      </w:r>
      <w:r w:rsidRPr="00261CE3">
        <w:rPr>
          <w:rStyle w:val="normaltextrun"/>
          <w:sz w:val="22"/>
          <w:szCs w:val="22"/>
        </w:rPr>
        <w:t>CuneXus Client Advisory Board and Chief Revenue Officer at Members Cooperative CU sa</w:t>
      </w:r>
      <w:r w:rsidR="00283F32" w:rsidRPr="00261CE3">
        <w:rPr>
          <w:rStyle w:val="normaltextrun"/>
          <w:sz w:val="22"/>
          <w:szCs w:val="22"/>
        </w:rPr>
        <w:t>id</w:t>
      </w:r>
      <w:r w:rsidRPr="00261CE3">
        <w:rPr>
          <w:rStyle w:val="normaltextrun"/>
          <w:sz w:val="22"/>
          <w:szCs w:val="22"/>
        </w:rPr>
        <w:t>, “</w:t>
      </w:r>
      <w:r w:rsidR="003A0AA0" w:rsidRPr="00261CE3">
        <w:rPr>
          <w:rStyle w:val="normaltextrun"/>
          <w:sz w:val="22"/>
          <w:szCs w:val="22"/>
        </w:rPr>
        <w:t xml:space="preserve">As a member of the Client Advisory Board, I am </w:t>
      </w:r>
      <w:r w:rsidR="006576F4" w:rsidRPr="00261CE3">
        <w:rPr>
          <w:rStyle w:val="normaltextrun"/>
          <w:sz w:val="22"/>
          <w:szCs w:val="22"/>
        </w:rPr>
        <w:t xml:space="preserve">excited to be part of a service that is simplifying lending and </w:t>
      </w:r>
      <w:r w:rsidR="00DA48CA" w:rsidRPr="00261CE3">
        <w:rPr>
          <w:rStyle w:val="normaltextrun"/>
          <w:sz w:val="22"/>
          <w:szCs w:val="22"/>
        </w:rPr>
        <w:t>contribute to</w:t>
      </w:r>
      <w:r w:rsidR="005B4F17" w:rsidRPr="00261CE3">
        <w:rPr>
          <w:rStyle w:val="normaltextrun"/>
          <w:sz w:val="22"/>
          <w:szCs w:val="22"/>
        </w:rPr>
        <w:t xml:space="preserve"> </w:t>
      </w:r>
      <w:r w:rsidR="003A0AA0" w:rsidRPr="00261CE3">
        <w:rPr>
          <w:rStyle w:val="normaltextrun"/>
          <w:sz w:val="22"/>
          <w:szCs w:val="22"/>
        </w:rPr>
        <w:t>equipping consumers with every opportunity for financial excellence from their primary financial institution.</w:t>
      </w:r>
      <w:r w:rsidR="005B4F17" w:rsidRPr="00261CE3">
        <w:rPr>
          <w:rStyle w:val="normaltextrun"/>
          <w:sz w:val="22"/>
          <w:szCs w:val="22"/>
        </w:rPr>
        <w:t xml:space="preserve"> 2021 was a great year for CuneXus and </w:t>
      </w:r>
      <w:r w:rsidR="00283F32" w:rsidRPr="00261CE3">
        <w:rPr>
          <w:rStyle w:val="normaltextrun"/>
          <w:sz w:val="22"/>
          <w:szCs w:val="22"/>
        </w:rPr>
        <w:t xml:space="preserve">I look forward </w:t>
      </w:r>
      <w:r w:rsidR="00F25E62" w:rsidRPr="00261CE3">
        <w:rPr>
          <w:rStyle w:val="normaltextrun"/>
          <w:sz w:val="22"/>
          <w:szCs w:val="22"/>
        </w:rPr>
        <w:t>to a successful year ahead.”</w:t>
      </w:r>
      <w:r w:rsidR="00D71170" w:rsidRPr="00261CE3">
        <w:rPr>
          <w:rStyle w:val="normaltextrun"/>
          <w:sz w:val="22"/>
          <w:szCs w:val="22"/>
        </w:rPr>
        <w:t xml:space="preserve"> </w:t>
      </w:r>
      <w:proofErr w:type="spellStart"/>
      <w:r w:rsidR="00D71170" w:rsidRPr="00261CE3">
        <w:rPr>
          <w:rStyle w:val="normaltextrun"/>
          <w:sz w:val="22"/>
          <w:szCs w:val="22"/>
        </w:rPr>
        <w:t>Glonchak</w:t>
      </w:r>
      <w:proofErr w:type="spellEnd"/>
      <w:r w:rsidR="00D71170" w:rsidRPr="00261CE3">
        <w:rPr>
          <w:rStyle w:val="normaltextrun"/>
          <w:sz w:val="22"/>
          <w:szCs w:val="22"/>
        </w:rPr>
        <w:t xml:space="preserve"> joins Eric Givens of Arizona Federal CU, Baron Conway of Nuvision CU, Joanna Bradley of Suncoast CU</w:t>
      </w:r>
      <w:r w:rsidR="0039564F" w:rsidRPr="00261CE3">
        <w:rPr>
          <w:rStyle w:val="normaltextrun"/>
          <w:sz w:val="22"/>
          <w:szCs w:val="22"/>
        </w:rPr>
        <w:t>, Jaynel Christensen of Commonwealth CU</w:t>
      </w:r>
      <w:r w:rsidR="00FD1262" w:rsidRPr="00261CE3">
        <w:rPr>
          <w:rStyle w:val="normaltextrun"/>
          <w:sz w:val="22"/>
          <w:szCs w:val="22"/>
        </w:rPr>
        <w:t>,</w:t>
      </w:r>
      <w:r w:rsidR="0039564F" w:rsidRPr="00261CE3">
        <w:rPr>
          <w:rStyle w:val="normaltextrun"/>
          <w:sz w:val="22"/>
          <w:szCs w:val="22"/>
        </w:rPr>
        <w:t xml:space="preserve"> and Bob Horsman of First American Bank, to round out</w:t>
      </w:r>
      <w:r w:rsidR="00CC0C98" w:rsidRPr="00261CE3">
        <w:rPr>
          <w:rStyle w:val="normaltextrun"/>
          <w:sz w:val="22"/>
          <w:szCs w:val="22"/>
        </w:rPr>
        <w:t xml:space="preserve"> the</w:t>
      </w:r>
      <w:r w:rsidR="0039564F" w:rsidRPr="00261CE3">
        <w:rPr>
          <w:rStyle w:val="normaltextrun"/>
          <w:sz w:val="22"/>
          <w:szCs w:val="22"/>
        </w:rPr>
        <w:t xml:space="preserve"> CuneXus 2022 Client Advisory Board.</w:t>
      </w:r>
    </w:p>
    <w:p w14:paraId="51BFD57B" w14:textId="77777777" w:rsidR="00261CE3" w:rsidRPr="00261CE3" w:rsidRDefault="00261CE3" w:rsidP="00261CE3">
      <w:pPr>
        <w:pStyle w:val="paragraph"/>
        <w:shd w:val="clear" w:color="auto" w:fill="FFFFFF" w:themeFill="background1"/>
        <w:spacing w:before="0" w:beforeAutospacing="0" w:after="0" w:afterAutospacing="0"/>
        <w:jc w:val="both"/>
        <w:textAlignment w:val="baseline"/>
        <w:rPr>
          <w:rStyle w:val="normaltextrun"/>
          <w:sz w:val="22"/>
          <w:szCs w:val="22"/>
        </w:rPr>
      </w:pPr>
    </w:p>
    <w:p w14:paraId="78CBFB55" w14:textId="476DB104" w:rsidR="4F629EB2" w:rsidRDefault="00F04F58" w:rsidP="00261CE3">
      <w:pPr>
        <w:pStyle w:val="paragraph"/>
        <w:shd w:val="clear" w:color="auto" w:fill="FFFFFF" w:themeFill="background1"/>
        <w:spacing w:before="0" w:beforeAutospacing="0" w:after="0" w:afterAutospacing="0"/>
        <w:jc w:val="both"/>
        <w:textAlignment w:val="baseline"/>
        <w:rPr>
          <w:rStyle w:val="normaltextrun"/>
          <w:sz w:val="22"/>
          <w:szCs w:val="22"/>
        </w:rPr>
      </w:pPr>
      <w:r w:rsidRPr="00261CE3">
        <w:rPr>
          <w:rStyle w:val="normaltextrun"/>
          <w:sz w:val="22"/>
          <w:szCs w:val="22"/>
        </w:rPr>
        <w:t>Dave Buerger, Co-Founder &amp; President of CuneXus, commented, “2021 was a difficult year for the world, our country and the banking industry</w:t>
      </w:r>
      <w:r w:rsidR="009431DA" w:rsidRPr="00261CE3">
        <w:rPr>
          <w:rStyle w:val="normaltextrun"/>
          <w:sz w:val="22"/>
          <w:szCs w:val="22"/>
        </w:rPr>
        <w:t>. However, thanks</w:t>
      </w:r>
      <w:r w:rsidR="006F5A24" w:rsidRPr="00261CE3">
        <w:rPr>
          <w:rStyle w:val="normaltextrun"/>
          <w:sz w:val="22"/>
          <w:szCs w:val="22"/>
        </w:rPr>
        <w:t xml:space="preserve"> to </w:t>
      </w:r>
      <w:r w:rsidRPr="00261CE3">
        <w:rPr>
          <w:rStyle w:val="normaltextrun"/>
          <w:sz w:val="22"/>
          <w:szCs w:val="22"/>
        </w:rPr>
        <w:t>the dedication and resilience of our team, we have</w:t>
      </w:r>
      <w:r w:rsidR="0038015D" w:rsidRPr="00261CE3">
        <w:rPr>
          <w:rStyle w:val="normaltextrun"/>
          <w:sz w:val="22"/>
          <w:szCs w:val="22"/>
        </w:rPr>
        <w:t xml:space="preserve"> seen significant growth</w:t>
      </w:r>
      <w:r w:rsidR="00E53E55" w:rsidRPr="00261CE3">
        <w:rPr>
          <w:rStyle w:val="normaltextrun"/>
          <w:sz w:val="22"/>
          <w:szCs w:val="22"/>
        </w:rPr>
        <w:t xml:space="preserve"> in our client acquisition and strategic </w:t>
      </w:r>
      <w:r w:rsidR="004D7099" w:rsidRPr="00261CE3">
        <w:rPr>
          <w:rStyle w:val="normaltextrun"/>
          <w:sz w:val="22"/>
          <w:szCs w:val="22"/>
        </w:rPr>
        <w:t>partnerships and</w:t>
      </w:r>
      <w:r w:rsidR="00E53E55" w:rsidRPr="00261CE3">
        <w:rPr>
          <w:rStyle w:val="normaltextrun"/>
          <w:sz w:val="22"/>
          <w:szCs w:val="22"/>
        </w:rPr>
        <w:t xml:space="preserve"> have introduced a new</w:t>
      </w:r>
      <w:r w:rsidR="00291E8D" w:rsidRPr="00261CE3">
        <w:rPr>
          <w:rStyle w:val="normaltextrun"/>
          <w:sz w:val="22"/>
          <w:szCs w:val="22"/>
        </w:rPr>
        <w:t xml:space="preserve"> credit monitoring tool that is revolutionizing </w:t>
      </w:r>
      <w:r w:rsidR="005C0585" w:rsidRPr="00261CE3">
        <w:rPr>
          <w:rStyle w:val="normaltextrun"/>
          <w:sz w:val="22"/>
          <w:szCs w:val="22"/>
        </w:rPr>
        <w:t>the</w:t>
      </w:r>
      <w:r w:rsidR="00804FFE" w:rsidRPr="00261CE3">
        <w:rPr>
          <w:rStyle w:val="normaltextrun"/>
          <w:sz w:val="22"/>
          <w:szCs w:val="22"/>
        </w:rPr>
        <w:t xml:space="preserve"> digital lending experience. </w:t>
      </w:r>
      <w:r w:rsidRPr="00261CE3">
        <w:rPr>
          <w:rStyle w:val="normaltextrun"/>
          <w:sz w:val="22"/>
          <w:szCs w:val="22"/>
        </w:rPr>
        <w:t>As we embark on the year ahead, I am confident that the energy and optimism of our team</w:t>
      </w:r>
      <w:r w:rsidR="005C0585" w:rsidRPr="00261CE3">
        <w:rPr>
          <w:rStyle w:val="normaltextrun"/>
          <w:sz w:val="22"/>
          <w:szCs w:val="22"/>
        </w:rPr>
        <w:t>, and the support of our partners,</w:t>
      </w:r>
      <w:r w:rsidRPr="00261CE3">
        <w:rPr>
          <w:rStyle w:val="normaltextrun"/>
          <w:sz w:val="22"/>
          <w:szCs w:val="22"/>
        </w:rPr>
        <w:t xml:space="preserve"> will enable us to continue to build an even stronger CuneXus.”</w:t>
      </w:r>
      <w:r w:rsidR="00D71170" w:rsidRPr="00261CE3">
        <w:rPr>
          <w:rStyle w:val="normaltextrun"/>
          <w:sz w:val="22"/>
          <w:szCs w:val="22"/>
        </w:rPr>
        <w:t xml:space="preserve"> </w:t>
      </w:r>
    </w:p>
    <w:p w14:paraId="562CBE6B" w14:textId="77777777" w:rsidR="00261CE3" w:rsidRPr="00261CE3" w:rsidRDefault="00261CE3" w:rsidP="00261CE3">
      <w:pPr>
        <w:pStyle w:val="paragraph"/>
        <w:shd w:val="clear" w:color="auto" w:fill="FFFFFF" w:themeFill="background1"/>
        <w:spacing w:before="0" w:beforeAutospacing="0" w:after="0" w:afterAutospacing="0"/>
        <w:jc w:val="both"/>
        <w:textAlignment w:val="baseline"/>
        <w:rPr>
          <w:rStyle w:val="normaltextrun"/>
          <w:sz w:val="22"/>
          <w:szCs w:val="22"/>
        </w:rPr>
      </w:pPr>
    </w:p>
    <w:p w14:paraId="701869A1" w14:textId="6DE0F1B0" w:rsidR="00C918C2" w:rsidRPr="00261CE3" w:rsidRDefault="00C918C2" w:rsidP="00261CE3">
      <w:pPr>
        <w:pStyle w:val="paragraph"/>
        <w:spacing w:before="0" w:beforeAutospacing="0" w:after="0" w:afterAutospacing="0"/>
        <w:jc w:val="both"/>
        <w:textAlignment w:val="baseline"/>
        <w:rPr>
          <w:sz w:val="22"/>
          <w:szCs w:val="22"/>
        </w:rPr>
      </w:pPr>
      <w:r w:rsidRPr="00261CE3">
        <w:rPr>
          <w:rStyle w:val="normaltextrun"/>
          <w:b/>
          <w:bCs/>
          <w:sz w:val="22"/>
          <w:szCs w:val="22"/>
        </w:rPr>
        <w:t>About CuneXus</w:t>
      </w:r>
      <w:r w:rsidRPr="00261CE3">
        <w:rPr>
          <w:rStyle w:val="normaltextrun"/>
          <w:sz w:val="22"/>
          <w:szCs w:val="22"/>
        </w:rPr>
        <w:t> </w:t>
      </w:r>
      <w:r w:rsidRPr="00261CE3">
        <w:rPr>
          <w:rStyle w:val="eop"/>
          <w:sz w:val="22"/>
          <w:szCs w:val="22"/>
        </w:rPr>
        <w:t> </w:t>
      </w:r>
    </w:p>
    <w:p w14:paraId="58170F3F" w14:textId="0D91F228" w:rsidR="127CB1FD" w:rsidRDefault="127CB1FD" w:rsidP="00261CE3">
      <w:pPr>
        <w:spacing w:after="0"/>
        <w:jc w:val="both"/>
        <w:rPr>
          <w:rFonts w:ascii="Times New Roman" w:eastAsia="Times New Roman" w:hAnsi="Times New Roman" w:cs="Times New Roman"/>
        </w:rPr>
      </w:pPr>
      <w:r w:rsidRPr="00261CE3">
        <w:rPr>
          <w:rFonts w:ascii="Times New Roman" w:eastAsia="Times New Roman" w:hAnsi="Times New Roman" w:cs="Times New Roman"/>
          <w:color w:val="000000" w:themeColor="text1"/>
        </w:rPr>
        <w:t>CuneXus</w:t>
      </w:r>
      <w:r w:rsidR="00474E10" w:rsidRPr="00261CE3">
        <w:rPr>
          <w:rFonts w:ascii="Times New Roman" w:eastAsia="Times New Roman" w:hAnsi="Times New Roman" w:cs="Times New Roman"/>
          <w:color w:val="000000" w:themeColor="text1"/>
        </w:rPr>
        <w:t>,</w:t>
      </w:r>
      <w:r w:rsidRPr="00261CE3">
        <w:rPr>
          <w:rFonts w:ascii="Times New Roman" w:eastAsia="Times New Roman" w:hAnsi="Times New Roman" w:cs="Times New Roman"/>
          <w:color w:val="000000" w:themeColor="text1"/>
        </w:rPr>
        <w:t xml:space="preserve"> </w:t>
      </w:r>
      <w:r w:rsidR="00474E10" w:rsidRPr="00261CE3">
        <w:rPr>
          <w:rFonts w:ascii="Times New Roman" w:eastAsia="Times New Roman" w:hAnsi="Times New Roman" w:cs="Times New Roman"/>
          <w:color w:val="000000" w:themeColor="text1"/>
        </w:rPr>
        <w:t xml:space="preserve">a wholly owned subsidiary of CUNA Mutual, </w:t>
      </w:r>
      <w:r w:rsidRPr="00261CE3">
        <w:rPr>
          <w:rFonts w:ascii="Times New Roman" w:eastAsia="Times New Roman" w:hAnsi="Times New Roman" w:cs="Times New Roman"/>
          <w:color w:val="000000" w:themeColor="text1"/>
        </w:rPr>
        <w:t>is the first-to-market with a digital storefront for financial institution</w:t>
      </w:r>
      <w:r w:rsidR="00D71170" w:rsidRPr="00261CE3">
        <w:rPr>
          <w:rFonts w:ascii="Times New Roman" w:eastAsia="Times New Roman" w:hAnsi="Times New Roman" w:cs="Times New Roman"/>
          <w:color w:val="000000" w:themeColor="text1"/>
        </w:rPr>
        <w:t xml:space="preserve">s’ </w:t>
      </w:r>
      <w:r w:rsidRPr="00261CE3">
        <w:rPr>
          <w:rFonts w:ascii="Times New Roman" w:eastAsia="Times New Roman" w:hAnsi="Times New Roman" w:cs="Times New Roman"/>
          <w:color w:val="000000" w:themeColor="text1"/>
        </w:rPr>
        <w:t>customers and members, addressing the need for a personalized, on-demand banking experience. The platform eliminates the loan application process, providing consumer transparency and a simple 10-second activation experience. The CuneXus digital storefront has helped the largest lenders in the country to grow wallet share, create sales enabled branches, execute new account holder acquisition, and grow non-interest income. CuneXus client institutions represent over $</w:t>
      </w:r>
      <w:r w:rsidR="1881EF01" w:rsidRPr="00261CE3">
        <w:rPr>
          <w:rFonts w:ascii="Times New Roman" w:eastAsia="Times New Roman" w:hAnsi="Times New Roman" w:cs="Times New Roman"/>
          <w:color w:val="000000" w:themeColor="text1"/>
        </w:rPr>
        <w:t>5</w:t>
      </w:r>
      <w:r w:rsidR="00DD2F52" w:rsidRPr="00261CE3">
        <w:rPr>
          <w:rFonts w:ascii="Times New Roman" w:eastAsia="Times New Roman" w:hAnsi="Times New Roman" w:cs="Times New Roman"/>
          <w:color w:val="000000" w:themeColor="text1"/>
        </w:rPr>
        <w:t>96</w:t>
      </w:r>
      <w:r w:rsidRPr="00261CE3">
        <w:rPr>
          <w:rFonts w:ascii="Times New Roman" w:eastAsia="Times New Roman" w:hAnsi="Times New Roman" w:cs="Times New Roman"/>
          <w:color w:val="000000" w:themeColor="text1"/>
        </w:rPr>
        <w:t xml:space="preserve"> billion in combined assets and 2</w:t>
      </w:r>
      <w:r w:rsidR="00DD2F52" w:rsidRPr="00261CE3">
        <w:rPr>
          <w:rFonts w:ascii="Times New Roman" w:eastAsia="Times New Roman" w:hAnsi="Times New Roman" w:cs="Times New Roman"/>
          <w:color w:val="000000" w:themeColor="text1"/>
        </w:rPr>
        <w:t>7.3</w:t>
      </w:r>
      <w:r w:rsidRPr="00261CE3">
        <w:rPr>
          <w:rFonts w:ascii="Times New Roman" w:eastAsia="Times New Roman" w:hAnsi="Times New Roman" w:cs="Times New Roman"/>
          <w:color w:val="000000" w:themeColor="text1"/>
        </w:rPr>
        <w:t xml:space="preserve"> million U.S. consumers. </w:t>
      </w:r>
      <w:r w:rsidRPr="00261CE3">
        <w:rPr>
          <w:rFonts w:ascii="Times New Roman" w:eastAsia="Times New Roman" w:hAnsi="Times New Roman" w:cs="Times New Roman"/>
        </w:rPr>
        <w:t xml:space="preserve">For more information, visit </w:t>
      </w:r>
      <w:hyperlink r:id="rId9">
        <w:r w:rsidRPr="00261CE3">
          <w:rPr>
            <w:rStyle w:val="Hyperlink"/>
            <w:rFonts w:ascii="Times New Roman" w:eastAsia="Times New Roman" w:hAnsi="Times New Roman" w:cs="Times New Roman"/>
          </w:rPr>
          <w:t>www.cunexus.com</w:t>
        </w:r>
      </w:hyperlink>
      <w:r w:rsidRPr="00261CE3">
        <w:rPr>
          <w:rFonts w:ascii="Times New Roman" w:eastAsia="Times New Roman" w:hAnsi="Times New Roman" w:cs="Times New Roman"/>
        </w:rPr>
        <w:t xml:space="preserve">.  </w:t>
      </w:r>
    </w:p>
    <w:p w14:paraId="33038F7F" w14:textId="2AA4BFFF" w:rsidR="00261CE3" w:rsidRDefault="00261CE3" w:rsidP="00261CE3">
      <w:pPr>
        <w:spacing w:after="0"/>
        <w:jc w:val="both"/>
        <w:rPr>
          <w:rFonts w:ascii="Times New Roman" w:eastAsia="Times New Roman" w:hAnsi="Times New Roman" w:cs="Times New Roman"/>
        </w:rPr>
      </w:pPr>
    </w:p>
    <w:p w14:paraId="0D6670B5" w14:textId="2F653E9A" w:rsidR="00261CE3" w:rsidRDefault="00261CE3" w:rsidP="00261CE3">
      <w:pPr>
        <w:spacing w:after="0"/>
        <w:jc w:val="both"/>
        <w:rPr>
          <w:rFonts w:ascii="Times New Roman" w:eastAsia="Times New Roman" w:hAnsi="Times New Roman" w:cs="Times New Roman"/>
        </w:rPr>
      </w:pPr>
      <w:r>
        <w:rPr>
          <w:rFonts w:ascii="Times New Roman" w:eastAsia="Times New Roman" w:hAnsi="Times New Roman" w:cs="Times New Roman"/>
        </w:rPr>
        <w:t xml:space="preserve">Press Contact: </w:t>
      </w:r>
      <w:r>
        <w:rPr>
          <w:rFonts w:ascii="Times New Roman" w:eastAsia="Times New Roman" w:hAnsi="Times New Roman" w:cs="Times New Roman"/>
        </w:rPr>
        <w:tab/>
        <w:t>Sabina Andrei</w:t>
      </w:r>
    </w:p>
    <w:p w14:paraId="4CF266BC" w14:textId="0623ECD3" w:rsidR="00261CE3" w:rsidRDefault="00261CE3" w:rsidP="00261CE3">
      <w:pPr>
        <w:spacing w:after="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hyperlink r:id="rId10" w:history="1">
        <w:r w:rsidRPr="003C0991">
          <w:rPr>
            <w:rStyle w:val="Hyperlink"/>
            <w:rFonts w:ascii="Times New Roman" w:eastAsia="Times New Roman" w:hAnsi="Times New Roman" w:cs="Times New Roman"/>
          </w:rPr>
          <w:t>sabina@williammills.com</w:t>
        </w:r>
      </w:hyperlink>
    </w:p>
    <w:p w14:paraId="7F234BCE" w14:textId="48A8C95D" w:rsidR="00261CE3" w:rsidRPr="00261CE3" w:rsidRDefault="00261CE3" w:rsidP="00261CE3">
      <w:pPr>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rPr>
        <w:tab/>
      </w:r>
      <w:r>
        <w:rPr>
          <w:rFonts w:ascii="Times New Roman" w:eastAsia="Times New Roman" w:hAnsi="Times New Roman" w:cs="Times New Roman"/>
        </w:rPr>
        <w:tab/>
      </w:r>
      <w:r w:rsidRPr="00261CE3">
        <w:rPr>
          <w:rFonts w:ascii="Times New Roman" w:eastAsia="Times New Roman" w:hAnsi="Times New Roman" w:cs="Times New Roman"/>
        </w:rPr>
        <w:t>678</w:t>
      </w:r>
      <w:r>
        <w:rPr>
          <w:rFonts w:ascii="Times New Roman" w:eastAsia="Times New Roman" w:hAnsi="Times New Roman" w:cs="Times New Roman"/>
        </w:rPr>
        <w:t>-</w:t>
      </w:r>
      <w:r w:rsidRPr="00261CE3">
        <w:rPr>
          <w:rFonts w:ascii="Times New Roman" w:eastAsia="Times New Roman" w:hAnsi="Times New Roman" w:cs="Times New Roman"/>
        </w:rPr>
        <w:t>435</w:t>
      </w:r>
      <w:r>
        <w:rPr>
          <w:rFonts w:ascii="Times New Roman" w:eastAsia="Times New Roman" w:hAnsi="Times New Roman" w:cs="Times New Roman"/>
        </w:rPr>
        <w:t>-</w:t>
      </w:r>
      <w:r w:rsidRPr="00261CE3">
        <w:rPr>
          <w:rFonts w:ascii="Times New Roman" w:eastAsia="Times New Roman" w:hAnsi="Times New Roman" w:cs="Times New Roman"/>
        </w:rPr>
        <w:t>5580</w:t>
      </w:r>
    </w:p>
    <w:sectPr w:rsidR="00261CE3" w:rsidRPr="0026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70C7F"/>
    <w:multiLevelType w:val="hybridMultilevel"/>
    <w:tmpl w:val="16484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62"/>
    <w:rsid w:val="00000572"/>
    <w:rsid w:val="00000640"/>
    <w:rsid w:val="00015F6E"/>
    <w:rsid w:val="00020256"/>
    <w:rsid w:val="000342D7"/>
    <w:rsid w:val="00045CC0"/>
    <w:rsid w:val="00057E66"/>
    <w:rsid w:val="0006516E"/>
    <w:rsid w:val="00073721"/>
    <w:rsid w:val="00075F7E"/>
    <w:rsid w:val="00077140"/>
    <w:rsid w:val="000821BF"/>
    <w:rsid w:val="000834EC"/>
    <w:rsid w:val="00090581"/>
    <w:rsid w:val="000B72C8"/>
    <w:rsid w:val="000D22C0"/>
    <w:rsid w:val="000E720F"/>
    <w:rsid w:val="000F1910"/>
    <w:rsid w:val="00122758"/>
    <w:rsid w:val="00125D99"/>
    <w:rsid w:val="00133D46"/>
    <w:rsid w:val="00143347"/>
    <w:rsid w:val="00143F22"/>
    <w:rsid w:val="00150E88"/>
    <w:rsid w:val="0015382C"/>
    <w:rsid w:val="00153CF7"/>
    <w:rsid w:val="00166572"/>
    <w:rsid w:val="00174FCD"/>
    <w:rsid w:val="0018762D"/>
    <w:rsid w:val="0019745D"/>
    <w:rsid w:val="001B2C25"/>
    <w:rsid w:val="001C7016"/>
    <w:rsid w:val="001E52BF"/>
    <w:rsid w:val="001E6026"/>
    <w:rsid w:val="001F2B69"/>
    <w:rsid w:val="001F5ED0"/>
    <w:rsid w:val="00253A6A"/>
    <w:rsid w:val="00261CE3"/>
    <w:rsid w:val="00265172"/>
    <w:rsid w:val="002666E4"/>
    <w:rsid w:val="00283F32"/>
    <w:rsid w:val="00287DB9"/>
    <w:rsid w:val="00291E8D"/>
    <w:rsid w:val="00297CC9"/>
    <w:rsid w:val="002A47FF"/>
    <w:rsid w:val="002C7038"/>
    <w:rsid w:val="002D0DB0"/>
    <w:rsid w:val="002E491D"/>
    <w:rsid w:val="002F58F0"/>
    <w:rsid w:val="002F70A1"/>
    <w:rsid w:val="00300BEC"/>
    <w:rsid w:val="00305EB9"/>
    <w:rsid w:val="0032187F"/>
    <w:rsid w:val="0033111C"/>
    <w:rsid w:val="00332A92"/>
    <w:rsid w:val="0038015D"/>
    <w:rsid w:val="00381894"/>
    <w:rsid w:val="0039564F"/>
    <w:rsid w:val="003A0AA0"/>
    <w:rsid w:val="003B4E71"/>
    <w:rsid w:val="003C1468"/>
    <w:rsid w:val="003C72C7"/>
    <w:rsid w:val="003D167E"/>
    <w:rsid w:val="003E2D63"/>
    <w:rsid w:val="003F00CF"/>
    <w:rsid w:val="0040168A"/>
    <w:rsid w:val="0040408D"/>
    <w:rsid w:val="004069DB"/>
    <w:rsid w:val="00412F63"/>
    <w:rsid w:val="00414DB9"/>
    <w:rsid w:val="00456724"/>
    <w:rsid w:val="00467F81"/>
    <w:rsid w:val="00472522"/>
    <w:rsid w:val="004733D6"/>
    <w:rsid w:val="00474E10"/>
    <w:rsid w:val="0048465F"/>
    <w:rsid w:val="00491A9B"/>
    <w:rsid w:val="004A52BF"/>
    <w:rsid w:val="004C04EB"/>
    <w:rsid w:val="004C2FC3"/>
    <w:rsid w:val="004C467E"/>
    <w:rsid w:val="004D7099"/>
    <w:rsid w:val="004E081A"/>
    <w:rsid w:val="004F4A55"/>
    <w:rsid w:val="00514F60"/>
    <w:rsid w:val="00522C6F"/>
    <w:rsid w:val="00527531"/>
    <w:rsid w:val="005309F3"/>
    <w:rsid w:val="00543AC1"/>
    <w:rsid w:val="005463AD"/>
    <w:rsid w:val="005620AD"/>
    <w:rsid w:val="00574208"/>
    <w:rsid w:val="0059070D"/>
    <w:rsid w:val="00590725"/>
    <w:rsid w:val="005A3B0A"/>
    <w:rsid w:val="005B4F17"/>
    <w:rsid w:val="005B6B27"/>
    <w:rsid w:val="005B7DD4"/>
    <w:rsid w:val="005B7ECF"/>
    <w:rsid w:val="005C0162"/>
    <w:rsid w:val="005C0585"/>
    <w:rsid w:val="005D1121"/>
    <w:rsid w:val="005E66B0"/>
    <w:rsid w:val="00605515"/>
    <w:rsid w:val="006109AD"/>
    <w:rsid w:val="00612870"/>
    <w:rsid w:val="00621D01"/>
    <w:rsid w:val="00621F3B"/>
    <w:rsid w:val="0063061B"/>
    <w:rsid w:val="0063155E"/>
    <w:rsid w:val="006478F6"/>
    <w:rsid w:val="00652CC3"/>
    <w:rsid w:val="006576F4"/>
    <w:rsid w:val="006600DE"/>
    <w:rsid w:val="00677AB1"/>
    <w:rsid w:val="00690B61"/>
    <w:rsid w:val="006B060B"/>
    <w:rsid w:val="006B5ED7"/>
    <w:rsid w:val="006C087C"/>
    <w:rsid w:val="006C72D7"/>
    <w:rsid w:val="006E4A2A"/>
    <w:rsid w:val="006F424E"/>
    <w:rsid w:val="006F5A24"/>
    <w:rsid w:val="00705557"/>
    <w:rsid w:val="00716B41"/>
    <w:rsid w:val="00721F8A"/>
    <w:rsid w:val="00743141"/>
    <w:rsid w:val="00747D99"/>
    <w:rsid w:val="00751D5C"/>
    <w:rsid w:val="0075477D"/>
    <w:rsid w:val="00791EF5"/>
    <w:rsid w:val="007962F1"/>
    <w:rsid w:val="007A5133"/>
    <w:rsid w:val="007B760C"/>
    <w:rsid w:val="007C2C13"/>
    <w:rsid w:val="007C59A6"/>
    <w:rsid w:val="007D1538"/>
    <w:rsid w:val="007D1BFC"/>
    <w:rsid w:val="00804FFE"/>
    <w:rsid w:val="00814801"/>
    <w:rsid w:val="008408AA"/>
    <w:rsid w:val="00851C0F"/>
    <w:rsid w:val="008761D9"/>
    <w:rsid w:val="008838A9"/>
    <w:rsid w:val="00890831"/>
    <w:rsid w:val="00894FB0"/>
    <w:rsid w:val="008A1962"/>
    <w:rsid w:val="008B3ECC"/>
    <w:rsid w:val="008B6068"/>
    <w:rsid w:val="008B6E4C"/>
    <w:rsid w:val="008E734A"/>
    <w:rsid w:val="008F1622"/>
    <w:rsid w:val="00903459"/>
    <w:rsid w:val="009140D3"/>
    <w:rsid w:val="00915983"/>
    <w:rsid w:val="00915DC2"/>
    <w:rsid w:val="009355E8"/>
    <w:rsid w:val="009357E9"/>
    <w:rsid w:val="009431DA"/>
    <w:rsid w:val="00957A50"/>
    <w:rsid w:val="00970758"/>
    <w:rsid w:val="009729C0"/>
    <w:rsid w:val="0097457D"/>
    <w:rsid w:val="009912BF"/>
    <w:rsid w:val="009A0099"/>
    <w:rsid w:val="009B3EF1"/>
    <w:rsid w:val="009C0ADD"/>
    <w:rsid w:val="009D34D3"/>
    <w:rsid w:val="009F53ED"/>
    <w:rsid w:val="00A077CA"/>
    <w:rsid w:val="00A11313"/>
    <w:rsid w:val="00A16AAF"/>
    <w:rsid w:val="00A17023"/>
    <w:rsid w:val="00A2062F"/>
    <w:rsid w:val="00A37533"/>
    <w:rsid w:val="00A51A20"/>
    <w:rsid w:val="00A66119"/>
    <w:rsid w:val="00A675A6"/>
    <w:rsid w:val="00A72F5A"/>
    <w:rsid w:val="00A7543A"/>
    <w:rsid w:val="00A811A4"/>
    <w:rsid w:val="00A82615"/>
    <w:rsid w:val="00A86F23"/>
    <w:rsid w:val="00A902A2"/>
    <w:rsid w:val="00A930DD"/>
    <w:rsid w:val="00AA25D5"/>
    <w:rsid w:val="00AA356B"/>
    <w:rsid w:val="00AB1CBB"/>
    <w:rsid w:val="00AC0060"/>
    <w:rsid w:val="00AC286F"/>
    <w:rsid w:val="00AC6EE6"/>
    <w:rsid w:val="00AD32C0"/>
    <w:rsid w:val="00AD73D3"/>
    <w:rsid w:val="00AF5795"/>
    <w:rsid w:val="00AF636C"/>
    <w:rsid w:val="00B014C3"/>
    <w:rsid w:val="00B043B8"/>
    <w:rsid w:val="00B11987"/>
    <w:rsid w:val="00B21E00"/>
    <w:rsid w:val="00B316F1"/>
    <w:rsid w:val="00B35FF9"/>
    <w:rsid w:val="00B473CD"/>
    <w:rsid w:val="00B50AFE"/>
    <w:rsid w:val="00B63035"/>
    <w:rsid w:val="00B73927"/>
    <w:rsid w:val="00B75599"/>
    <w:rsid w:val="00B76D62"/>
    <w:rsid w:val="00B85DA9"/>
    <w:rsid w:val="00B86C86"/>
    <w:rsid w:val="00B9088E"/>
    <w:rsid w:val="00BA621E"/>
    <w:rsid w:val="00BB5333"/>
    <w:rsid w:val="00BC6517"/>
    <w:rsid w:val="00BC6F85"/>
    <w:rsid w:val="00BD2130"/>
    <w:rsid w:val="00BD370D"/>
    <w:rsid w:val="00BE0ED2"/>
    <w:rsid w:val="00BE1D26"/>
    <w:rsid w:val="00BF59E6"/>
    <w:rsid w:val="00C10B22"/>
    <w:rsid w:val="00C22A8B"/>
    <w:rsid w:val="00C24FD9"/>
    <w:rsid w:val="00C258E5"/>
    <w:rsid w:val="00C5341A"/>
    <w:rsid w:val="00C656B9"/>
    <w:rsid w:val="00C66DAD"/>
    <w:rsid w:val="00C75EBD"/>
    <w:rsid w:val="00C83614"/>
    <w:rsid w:val="00C84274"/>
    <w:rsid w:val="00C918C2"/>
    <w:rsid w:val="00CC0C98"/>
    <w:rsid w:val="00CC1293"/>
    <w:rsid w:val="00CC1F3D"/>
    <w:rsid w:val="00CF385B"/>
    <w:rsid w:val="00CF78B8"/>
    <w:rsid w:val="00D16375"/>
    <w:rsid w:val="00D205BC"/>
    <w:rsid w:val="00D46705"/>
    <w:rsid w:val="00D550C6"/>
    <w:rsid w:val="00D71170"/>
    <w:rsid w:val="00D77520"/>
    <w:rsid w:val="00D8321D"/>
    <w:rsid w:val="00D93F4F"/>
    <w:rsid w:val="00DA1A38"/>
    <w:rsid w:val="00DA48CA"/>
    <w:rsid w:val="00DA4939"/>
    <w:rsid w:val="00DC0A1B"/>
    <w:rsid w:val="00DD2F52"/>
    <w:rsid w:val="00DE064A"/>
    <w:rsid w:val="00DF0799"/>
    <w:rsid w:val="00DF1B3A"/>
    <w:rsid w:val="00DF1F37"/>
    <w:rsid w:val="00E5252B"/>
    <w:rsid w:val="00E53E55"/>
    <w:rsid w:val="00E562D7"/>
    <w:rsid w:val="00E60CA0"/>
    <w:rsid w:val="00E83113"/>
    <w:rsid w:val="00EA7C07"/>
    <w:rsid w:val="00EA7E8E"/>
    <w:rsid w:val="00EB011B"/>
    <w:rsid w:val="00EB3E1B"/>
    <w:rsid w:val="00EB4B8F"/>
    <w:rsid w:val="00EC7936"/>
    <w:rsid w:val="00EC7C31"/>
    <w:rsid w:val="00ED631F"/>
    <w:rsid w:val="00EF594D"/>
    <w:rsid w:val="00F04F58"/>
    <w:rsid w:val="00F23D00"/>
    <w:rsid w:val="00F25E62"/>
    <w:rsid w:val="00F365FF"/>
    <w:rsid w:val="00F41896"/>
    <w:rsid w:val="00F44816"/>
    <w:rsid w:val="00F46F99"/>
    <w:rsid w:val="00F50C2A"/>
    <w:rsid w:val="00F53A0B"/>
    <w:rsid w:val="00F544CD"/>
    <w:rsid w:val="00F57435"/>
    <w:rsid w:val="00F77570"/>
    <w:rsid w:val="00F82E61"/>
    <w:rsid w:val="00F8470E"/>
    <w:rsid w:val="00F84F53"/>
    <w:rsid w:val="00F92A36"/>
    <w:rsid w:val="00F937AF"/>
    <w:rsid w:val="00FB1254"/>
    <w:rsid w:val="00FD1262"/>
    <w:rsid w:val="00FD574A"/>
    <w:rsid w:val="00FD5DAA"/>
    <w:rsid w:val="00FF6ED2"/>
    <w:rsid w:val="04055532"/>
    <w:rsid w:val="09358FE3"/>
    <w:rsid w:val="09CF63F6"/>
    <w:rsid w:val="113A66F6"/>
    <w:rsid w:val="127CB1FD"/>
    <w:rsid w:val="136B1961"/>
    <w:rsid w:val="156AC1DE"/>
    <w:rsid w:val="16545BEB"/>
    <w:rsid w:val="17B7BD2F"/>
    <w:rsid w:val="1881EF01"/>
    <w:rsid w:val="196A87B7"/>
    <w:rsid w:val="19AE394C"/>
    <w:rsid w:val="1ED60929"/>
    <w:rsid w:val="268851ED"/>
    <w:rsid w:val="2A803A0C"/>
    <w:rsid w:val="2D45203B"/>
    <w:rsid w:val="31722042"/>
    <w:rsid w:val="324E2DD9"/>
    <w:rsid w:val="32A5662D"/>
    <w:rsid w:val="32E96065"/>
    <w:rsid w:val="39F21AA8"/>
    <w:rsid w:val="3AFFDA2B"/>
    <w:rsid w:val="3CC7236F"/>
    <w:rsid w:val="3E48940E"/>
    <w:rsid w:val="3E64D12F"/>
    <w:rsid w:val="3E9CCD96"/>
    <w:rsid w:val="3EA0CAA1"/>
    <w:rsid w:val="40A720BF"/>
    <w:rsid w:val="432139FC"/>
    <w:rsid w:val="4620F46F"/>
    <w:rsid w:val="494AED19"/>
    <w:rsid w:val="4A4A836A"/>
    <w:rsid w:val="4B1C45AA"/>
    <w:rsid w:val="4F629EB2"/>
    <w:rsid w:val="4F8E8A30"/>
    <w:rsid w:val="50B119CE"/>
    <w:rsid w:val="5E233743"/>
    <w:rsid w:val="5EAF162B"/>
    <w:rsid w:val="5FCD8FE0"/>
    <w:rsid w:val="612486F9"/>
    <w:rsid w:val="61894D53"/>
    <w:rsid w:val="6B663AD7"/>
    <w:rsid w:val="6F64D0B4"/>
    <w:rsid w:val="72E137AF"/>
    <w:rsid w:val="797D5893"/>
    <w:rsid w:val="7D201C88"/>
    <w:rsid w:val="7DF5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9210"/>
  <w15:chartTrackingRefBased/>
  <w15:docId w15:val="{28BDAB74-2A95-4D2E-8D6F-E3EEC030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C0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0162"/>
  </w:style>
  <w:style w:type="character" w:customStyle="1" w:styleId="eop">
    <w:name w:val="eop"/>
    <w:basedOn w:val="DefaultParagraphFont"/>
    <w:rsid w:val="005C0162"/>
  </w:style>
  <w:style w:type="paragraph" w:styleId="ListParagraph">
    <w:name w:val="List Paragraph"/>
    <w:basedOn w:val="Normal"/>
    <w:uiPriority w:val="34"/>
    <w:qFormat/>
    <w:rsid w:val="00514F60"/>
    <w:pPr>
      <w:spacing w:after="0" w:line="240"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6600DE"/>
    <w:rPr>
      <w:sz w:val="16"/>
      <w:szCs w:val="16"/>
    </w:rPr>
  </w:style>
  <w:style w:type="paragraph" w:styleId="CommentText">
    <w:name w:val="annotation text"/>
    <w:basedOn w:val="Normal"/>
    <w:link w:val="CommentTextChar"/>
    <w:uiPriority w:val="99"/>
    <w:semiHidden/>
    <w:unhideWhenUsed/>
    <w:rsid w:val="006600DE"/>
    <w:pPr>
      <w:spacing w:line="240" w:lineRule="auto"/>
    </w:pPr>
    <w:rPr>
      <w:sz w:val="20"/>
      <w:szCs w:val="20"/>
    </w:rPr>
  </w:style>
  <w:style w:type="character" w:customStyle="1" w:styleId="CommentTextChar">
    <w:name w:val="Comment Text Char"/>
    <w:basedOn w:val="DefaultParagraphFont"/>
    <w:link w:val="CommentText"/>
    <w:uiPriority w:val="99"/>
    <w:semiHidden/>
    <w:rsid w:val="006600DE"/>
    <w:rPr>
      <w:sz w:val="20"/>
      <w:szCs w:val="20"/>
    </w:rPr>
  </w:style>
  <w:style w:type="paragraph" w:styleId="CommentSubject">
    <w:name w:val="annotation subject"/>
    <w:basedOn w:val="CommentText"/>
    <w:next w:val="CommentText"/>
    <w:link w:val="CommentSubjectChar"/>
    <w:uiPriority w:val="99"/>
    <w:semiHidden/>
    <w:unhideWhenUsed/>
    <w:rsid w:val="006600DE"/>
    <w:rPr>
      <w:b/>
      <w:bCs/>
    </w:rPr>
  </w:style>
  <w:style w:type="character" w:customStyle="1" w:styleId="CommentSubjectChar">
    <w:name w:val="Comment Subject Char"/>
    <w:basedOn w:val="CommentTextChar"/>
    <w:link w:val="CommentSubject"/>
    <w:uiPriority w:val="99"/>
    <w:semiHidden/>
    <w:rsid w:val="006600DE"/>
    <w:rPr>
      <w:b/>
      <w:bCs/>
      <w:sz w:val="20"/>
      <w:szCs w:val="20"/>
    </w:rPr>
  </w:style>
  <w:style w:type="character" w:styleId="UnresolvedMention">
    <w:name w:val="Unresolved Mention"/>
    <w:basedOn w:val="DefaultParagraphFont"/>
    <w:uiPriority w:val="99"/>
    <w:unhideWhenUsed/>
    <w:rsid w:val="005D1121"/>
    <w:rPr>
      <w:color w:val="605E5C"/>
      <w:shd w:val="clear" w:color="auto" w:fill="E1DFDD"/>
    </w:rPr>
  </w:style>
  <w:style w:type="paragraph" w:styleId="Revision">
    <w:name w:val="Revision"/>
    <w:hidden/>
    <w:uiPriority w:val="99"/>
    <w:semiHidden/>
    <w:rsid w:val="00ED631F"/>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7015">
      <w:bodyDiv w:val="1"/>
      <w:marLeft w:val="0"/>
      <w:marRight w:val="0"/>
      <w:marTop w:val="0"/>
      <w:marBottom w:val="0"/>
      <w:divBdr>
        <w:top w:val="none" w:sz="0" w:space="0" w:color="auto"/>
        <w:left w:val="none" w:sz="0" w:space="0" w:color="auto"/>
        <w:bottom w:val="none" w:sz="0" w:space="0" w:color="auto"/>
        <w:right w:val="none" w:sz="0" w:space="0" w:color="auto"/>
      </w:divBdr>
      <w:divsChild>
        <w:div w:id="1410496812">
          <w:marLeft w:val="0"/>
          <w:marRight w:val="0"/>
          <w:marTop w:val="0"/>
          <w:marBottom w:val="0"/>
          <w:divBdr>
            <w:top w:val="none" w:sz="0" w:space="0" w:color="auto"/>
            <w:left w:val="none" w:sz="0" w:space="0" w:color="auto"/>
            <w:bottom w:val="none" w:sz="0" w:space="0" w:color="auto"/>
            <w:right w:val="none" w:sz="0" w:space="0" w:color="auto"/>
          </w:divBdr>
        </w:div>
        <w:div w:id="1151870187">
          <w:marLeft w:val="0"/>
          <w:marRight w:val="0"/>
          <w:marTop w:val="0"/>
          <w:marBottom w:val="0"/>
          <w:divBdr>
            <w:top w:val="none" w:sz="0" w:space="0" w:color="auto"/>
            <w:left w:val="none" w:sz="0" w:space="0" w:color="auto"/>
            <w:bottom w:val="none" w:sz="0" w:space="0" w:color="auto"/>
            <w:right w:val="none" w:sz="0" w:space="0" w:color="auto"/>
          </w:divBdr>
        </w:div>
        <w:div w:id="1900362580">
          <w:marLeft w:val="0"/>
          <w:marRight w:val="0"/>
          <w:marTop w:val="0"/>
          <w:marBottom w:val="0"/>
          <w:divBdr>
            <w:top w:val="none" w:sz="0" w:space="0" w:color="auto"/>
            <w:left w:val="none" w:sz="0" w:space="0" w:color="auto"/>
            <w:bottom w:val="none" w:sz="0" w:space="0" w:color="auto"/>
            <w:right w:val="none" w:sz="0" w:space="0" w:color="auto"/>
          </w:divBdr>
        </w:div>
      </w:divsChild>
    </w:div>
    <w:div w:id="2140954826">
      <w:bodyDiv w:val="1"/>
      <w:marLeft w:val="0"/>
      <w:marRight w:val="0"/>
      <w:marTop w:val="0"/>
      <w:marBottom w:val="0"/>
      <w:divBdr>
        <w:top w:val="none" w:sz="0" w:space="0" w:color="auto"/>
        <w:left w:val="none" w:sz="0" w:space="0" w:color="auto"/>
        <w:bottom w:val="none" w:sz="0" w:space="0" w:color="auto"/>
        <w:right w:val="none" w:sz="0" w:space="0" w:color="auto"/>
      </w:divBdr>
      <w:divsChild>
        <w:div w:id="1029143378">
          <w:marLeft w:val="0"/>
          <w:marRight w:val="0"/>
          <w:marTop w:val="0"/>
          <w:marBottom w:val="0"/>
          <w:divBdr>
            <w:top w:val="none" w:sz="0" w:space="0" w:color="auto"/>
            <w:left w:val="none" w:sz="0" w:space="0" w:color="auto"/>
            <w:bottom w:val="none" w:sz="0" w:space="0" w:color="auto"/>
            <w:right w:val="none" w:sz="0" w:space="0" w:color="auto"/>
          </w:divBdr>
        </w:div>
        <w:div w:id="784692224">
          <w:marLeft w:val="0"/>
          <w:marRight w:val="0"/>
          <w:marTop w:val="0"/>
          <w:marBottom w:val="0"/>
          <w:divBdr>
            <w:top w:val="none" w:sz="0" w:space="0" w:color="auto"/>
            <w:left w:val="none" w:sz="0" w:space="0" w:color="auto"/>
            <w:bottom w:val="none" w:sz="0" w:space="0" w:color="auto"/>
            <w:right w:val="none" w:sz="0" w:space="0" w:color="auto"/>
          </w:divBdr>
        </w:div>
        <w:div w:id="1156997762">
          <w:marLeft w:val="0"/>
          <w:marRight w:val="0"/>
          <w:marTop w:val="0"/>
          <w:marBottom w:val="0"/>
          <w:divBdr>
            <w:top w:val="none" w:sz="0" w:space="0" w:color="auto"/>
            <w:left w:val="none" w:sz="0" w:space="0" w:color="auto"/>
            <w:bottom w:val="none" w:sz="0" w:space="0" w:color="auto"/>
            <w:right w:val="none" w:sz="0" w:space="0" w:color="auto"/>
          </w:divBdr>
        </w:div>
        <w:div w:id="1050610746">
          <w:marLeft w:val="0"/>
          <w:marRight w:val="0"/>
          <w:marTop w:val="0"/>
          <w:marBottom w:val="0"/>
          <w:divBdr>
            <w:top w:val="none" w:sz="0" w:space="0" w:color="auto"/>
            <w:left w:val="none" w:sz="0" w:space="0" w:color="auto"/>
            <w:bottom w:val="none" w:sz="0" w:space="0" w:color="auto"/>
            <w:right w:val="none" w:sz="0" w:space="0" w:color="auto"/>
          </w:divBdr>
        </w:div>
        <w:div w:id="563488587">
          <w:marLeft w:val="0"/>
          <w:marRight w:val="0"/>
          <w:marTop w:val="0"/>
          <w:marBottom w:val="0"/>
          <w:divBdr>
            <w:top w:val="none" w:sz="0" w:space="0" w:color="auto"/>
            <w:left w:val="none" w:sz="0" w:space="0" w:color="auto"/>
            <w:bottom w:val="none" w:sz="0" w:space="0" w:color="auto"/>
            <w:right w:val="none" w:sz="0" w:space="0" w:color="auto"/>
          </w:divBdr>
        </w:div>
        <w:div w:id="148256362">
          <w:marLeft w:val="0"/>
          <w:marRight w:val="0"/>
          <w:marTop w:val="0"/>
          <w:marBottom w:val="0"/>
          <w:divBdr>
            <w:top w:val="none" w:sz="0" w:space="0" w:color="auto"/>
            <w:left w:val="none" w:sz="0" w:space="0" w:color="auto"/>
            <w:bottom w:val="none" w:sz="0" w:space="0" w:color="auto"/>
            <w:right w:val="none" w:sz="0" w:space="0" w:color="auto"/>
          </w:divBdr>
        </w:div>
        <w:div w:id="632105334">
          <w:marLeft w:val="0"/>
          <w:marRight w:val="0"/>
          <w:marTop w:val="0"/>
          <w:marBottom w:val="0"/>
          <w:divBdr>
            <w:top w:val="none" w:sz="0" w:space="0" w:color="auto"/>
            <w:left w:val="none" w:sz="0" w:space="0" w:color="auto"/>
            <w:bottom w:val="none" w:sz="0" w:space="0" w:color="auto"/>
            <w:right w:val="none" w:sz="0" w:space="0" w:color="auto"/>
          </w:divBdr>
        </w:div>
        <w:div w:id="449396003">
          <w:marLeft w:val="0"/>
          <w:marRight w:val="0"/>
          <w:marTop w:val="0"/>
          <w:marBottom w:val="0"/>
          <w:divBdr>
            <w:top w:val="none" w:sz="0" w:space="0" w:color="auto"/>
            <w:left w:val="none" w:sz="0" w:space="0" w:color="auto"/>
            <w:bottom w:val="none" w:sz="0" w:space="0" w:color="auto"/>
            <w:right w:val="none" w:sz="0" w:space="0" w:color="auto"/>
          </w:divBdr>
        </w:div>
        <w:div w:id="2032875567">
          <w:marLeft w:val="0"/>
          <w:marRight w:val="0"/>
          <w:marTop w:val="0"/>
          <w:marBottom w:val="0"/>
          <w:divBdr>
            <w:top w:val="none" w:sz="0" w:space="0" w:color="auto"/>
            <w:left w:val="none" w:sz="0" w:space="0" w:color="auto"/>
            <w:bottom w:val="none" w:sz="0" w:space="0" w:color="auto"/>
            <w:right w:val="none" w:sz="0" w:space="0" w:color="auto"/>
          </w:divBdr>
        </w:div>
        <w:div w:id="1990983712">
          <w:marLeft w:val="0"/>
          <w:marRight w:val="0"/>
          <w:marTop w:val="0"/>
          <w:marBottom w:val="0"/>
          <w:divBdr>
            <w:top w:val="none" w:sz="0" w:space="0" w:color="auto"/>
            <w:left w:val="none" w:sz="0" w:space="0" w:color="auto"/>
            <w:bottom w:val="none" w:sz="0" w:space="0" w:color="auto"/>
            <w:right w:val="none" w:sz="0" w:space="0" w:color="auto"/>
          </w:divBdr>
        </w:div>
        <w:div w:id="1340279146">
          <w:marLeft w:val="0"/>
          <w:marRight w:val="0"/>
          <w:marTop w:val="0"/>
          <w:marBottom w:val="0"/>
          <w:divBdr>
            <w:top w:val="none" w:sz="0" w:space="0" w:color="auto"/>
            <w:left w:val="none" w:sz="0" w:space="0" w:color="auto"/>
            <w:bottom w:val="none" w:sz="0" w:space="0" w:color="auto"/>
            <w:right w:val="none" w:sz="0" w:space="0" w:color="auto"/>
          </w:divBdr>
        </w:div>
        <w:div w:id="85900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nexusonline.com/2020-year-in-revi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bina@williammills.com" TargetMode="External"/><Relationship Id="rId4" Type="http://schemas.openxmlformats.org/officeDocument/2006/relationships/numbering" Target="numbering.xml"/><Relationship Id="rId9" Type="http://schemas.openxmlformats.org/officeDocument/2006/relationships/hyperlink" Target="http://www.cunex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F4916-D7F8-4487-BF82-52F8172AED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786CB-BBE7-4EFF-B944-37AA4BEFA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C1C03-3CBD-43F2-BCDD-E23FD465B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Andrei</dc:creator>
  <cp:keywords/>
  <dc:description/>
  <cp:lastModifiedBy>Samantha Wheeler</cp:lastModifiedBy>
  <cp:revision>3</cp:revision>
  <dcterms:created xsi:type="dcterms:W3CDTF">2022-01-10T21:51:00Z</dcterms:created>
  <dcterms:modified xsi:type="dcterms:W3CDTF">2022-01-10T22:04:00Z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