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43C2" w14:textId="77777777" w:rsidR="00C004A2" w:rsidRDefault="00C004A2" w:rsidP="00C004A2">
      <w:pPr>
        <w:spacing w:after="120"/>
        <w:rPr>
          <w:rFonts w:ascii="Calibri" w:hAnsi="Calibri" w:cstheme="majorHAnsi"/>
        </w:rPr>
      </w:pPr>
    </w:p>
    <w:p w14:paraId="11194EA2" w14:textId="77777777" w:rsidR="00C004A2" w:rsidRPr="00EE3167" w:rsidRDefault="00C004A2" w:rsidP="00C004A2">
      <w:r>
        <w:rPr>
          <w:noProof/>
        </w:rPr>
        <mc:AlternateContent>
          <mc:Choice Requires="wps">
            <w:drawing>
              <wp:anchor distT="0" distB="0" distL="114300" distR="114300" simplePos="0" relativeHeight="251659264" behindDoc="0" locked="0" layoutInCell="1" allowOverlap="1" wp14:anchorId="049ED3B9" wp14:editId="5C2D10E9">
                <wp:simplePos x="0" y="0"/>
                <wp:positionH relativeFrom="column">
                  <wp:posOffset>0</wp:posOffset>
                </wp:positionH>
                <wp:positionV relativeFrom="paragraph">
                  <wp:posOffset>-114300</wp:posOffset>
                </wp:positionV>
                <wp:extent cx="2367915" cy="1788414"/>
                <wp:effectExtent l="0" t="0"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88414"/>
                        </a:xfrm>
                        <a:prstGeom prst="rect">
                          <a:avLst/>
                        </a:prstGeom>
                        <a:solidFill>
                          <a:srgbClr val="FFFFFF"/>
                        </a:solidFill>
                        <a:ln w="9525">
                          <a:solidFill>
                            <a:srgbClr val="FFFFFF"/>
                          </a:solidFill>
                          <a:miter lim="800000"/>
                          <a:headEnd/>
                          <a:tailEnd/>
                        </a:ln>
                      </wps:spPr>
                      <wps:txbx>
                        <w:txbxContent>
                          <w:p w14:paraId="6FF9E337" w14:textId="77777777" w:rsidR="00C004A2" w:rsidRDefault="00C004A2" w:rsidP="00C004A2">
                            <w:r>
                              <w:rPr>
                                <w:noProof/>
                              </w:rPr>
                              <w:drawing>
                                <wp:inline distT="0" distB="0" distL="0" distR="0" wp14:anchorId="5D95E026" wp14:editId="59C4EF9D">
                                  <wp:extent cx="1976731" cy="734328"/>
                                  <wp:effectExtent l="0" t="0" r="5080" b="2540"/>
                                  <wp:docPr id="1450217570" name="Picture 3" descr="TDECU%20LOG%20200%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29072" name="Picture 1" descr="TDECU%20LOG%20200%20red.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40175" cy="757897"/>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49ED3B9" id="_x0000_t202" coordsize="21600,21600" o:spt="202" path="m,l,21600r21600,l21600,xe">
                <v:stroke joinstyle="miter"/>
                <v:path gradientshapeok="t" o:connecttype="rect"/>
              </v:shapetype>
              <v:shape id="Text Box 2" o:spid="_x0000_s1026" type="#_x0000_t202" style="position:absolute;margin-left:0;margin-top:-9pt;width:186.45pt;height:140.8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" strokecolor="white">
                <v:textbox style="mso-fit-shape-to-text:t">
                  <w:txbxContent>
                    <w:p w14:paraId="6FF9E337" w14:textId="77777777" w:rsidR="00C004A2" w:rsidRDefault="00C004A2" w:rsidP="00C004A2">
                      <w:r>
                        <w:rPr>
                          <w:noProof/>
                        </w:rPr>
                        <w:drawing>
                          <wp:inline distT="0" distB="0" distL="0" distR="0" wp14:anchorId="5D95E026" wp14:editId="59C4EF9D">
                            <wp:extent cx="1976731" cy="734328"/>
                            <wp:effectExtent l="0" t="0" r="5080" b="2540"/>
                            <wp:docPr id="1450217570" name="Picture 3" descr="TDECU%20LOG%20200%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29072" name="Picture 1" descr="TDECU%20LOG%20200%20red.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40175" cy="757897"/>
                                    </a:xfrm>
                                    <a:prstGeom prst="rect">
                                      <a:avLst/>
                                    </a:prstGeom>
                                    <a:noFill/>
                                    <a:ln>
                                      <a:noFill/>
                                    </a:ln>
                                  </pic:spPr>
                                </pic:pic>
                              </a:graphicData>
                            </a:graphic>
                          </wp:inline>
                        </w:drawing>
                      </w:r>
                    </w:p>
                  </w:txbxContent>
                </v:textbox>
              </v:shape>
            </w:pict>
          </mc:Fallback>
        </mc:AlternateContent>
      </w:r>
    </w:p>
    <w:p w14:paraId="12EA58B9" w14:textId="77777777" w:rsidR="00C004A2" w:rsidRPr="00684039" w:rsidRDefault="00C004A2" w:rsidP="00C004A2">
      <w:pPr>
        <w:ind w:left="2880" w:firstLine="720"/>
        <w:jc w:val="right"/>
        <w:rPr>
          <w:rFonts w:ascii="Tahoma" w:hAnsi="Tahoma" w:cs="Tahoma"/>
        </w:rPr>
      </w:pPr>
      <w:r w:rsidRPr="00684039">
        <w:rPr>
          <w:rFonts w:ascii="Tahoma" w:hAnsi="Tahoma" w:cs="Tahoma"/>
          <w:b/>
          <w:u w:val="single"/>
        </w:rPr>
        <w:t>Media Contact:</w:t>
      </w:r>
      <w:r w:rsidRPr="00684039">
        <w:rPr>
          <w:rFonts w:ascii="Tahoma" w:hAnsi="Tahoma" w:cs="Tahoma"/>
        </w:rPr>
        <w:t xml:space="preserve"> </w:t>
      </w:r>
      <w:r w:rsidRPr="00684039">
        <w:rPr>
          <w:rFonts w:ascii="Tahoma" w:hAnsi="Tahoma" w:cs="Tahoma"/>
        </w:rPr>
        <w:br/>
        <w:t>Merideth Miller, M2 The Agency</w:t>
      </w:r>
    </w:p>
    <w:p w14:paraId="435A69B4" w14:textId="77777777" w:rsidR="00C004A2" w:rsidRPr="00684039" w:rsidRDefault="00C004A2" w:rsidP="00C004A2">
      <w:pPr>
        <w:ind w:left="5040" w:firstLine="720"/>
        <w:jc w:val="right"/>
        <w:rPr>
          <w:rFonts w:ascii="Tahoma" w:hAnsi="Tahoma" w:cs="Tahoma"/>
        </w:rPr>
      </w:pPr>
      <w:r w:rsidRPr="00684039">
        <w:rPr>
          <w:rFonts w:ascii="Tahoma" w:hAnsi="Tahoma" w:cs="Tahoma"/>
        </w:rPr>
        <w:t>281.882.3045</w:t>
      </w:r>
    </w:p>
    <w:p w14:paraId="7E95F694" w14:textId="77777777" w:rsidR="00C004A2" w:rsidRDefault="00206D3B" w:rsidP="00C004A2">
      <w:pPr>
        <w:ind w:left="5040" w:firstLine="720"/>
        <w:jc w:val="right"/>
        <w:rPr>
          <w:rStyle w:val="Hyperlink"/>
          <w:rFonts w:ascii="Tahoma" w:hAnsi="Tahoma" w:cs="Tahoma"/>
        </w:rPr>
      </w:pPr>
      <w:hyperlink r:id="rId6" w:history="1">
        <w:r w:rsidR="00C004A2" w:rsidRPr="00684039">
          <w:rPr>
            <w:rStyle w:val="Hyperlink"/>
            <w:rFonts w:ascii="Tahoma" w:hAnsi="Tahoma" w:cs="Tahoma"/>
          </w:rPr>
          <w:t>pr@m2theagency.com</w:t>
        </w:r>
      </w:hyperlink>
    </w:p>
    <w:p w14:paraId="5A2183F3" w14:textId="77777777" w:rsidR="00C004A2" w:rsidRDefault="00C004A2" w:rsidP="00C004A2">
      <w:pPr>
        <w:ind w:left="5040" w:firstLine="720"/>
        <w:jc w:val="right"/>
        <w:rPr>
          <w:rStyle w:val="Hyperlink"/>
          <w:rFonts w:ascii="Tahoma" w:hAnsi="Tahoma" w:cs="Tahoma"/>
        </w:rPr>
      </w:pPr>
    </w:p>
    <w:p w14:paraId="52CFE89A" w14:textId="77777777" w:rsidR="00C004A2" w:rsidRPr="00684039" w:rsidRDefault="00C004A2" w:rsidP="00C004A2">
      <w:pPr>
        <w:ind w:left="5040" w:firstLine="720"/>
        <w:jc w:val="right"/>
        <w:rPr>
          <w:rFonts w:ascii="Tahoma" w:hAnsi="Tahoma" w:cs="Tahoma"/>
        </w:rPr>
      </w:pPr>
    </w:p>
    <w:p w14:paraId="0D1B484C" w14:textId="146AF42C" w:rsidR="00C004A2" w:rsidRDefault="008B4A86" w:rsidP="008B4A86">
      <w:pPr>
        <w:jc w:val="center"/>
        <w:rPr>
          <w:rFonts w:ascii="Tahoma" w:hAnsi="Tahoma" w:cs="Tahoma"/>
        </w:rPr>
      </w:pPr>
      <w:r>
        <w:rPr>
          <w:rFonts w:ascii="Tahoma" w:hAnsi="Tahoma" w:cs="Tahoma"/>
          <w:noProof/>
        </w:rPr>
        <w:drawing>
          <wp:inline distT="0" distB="0" distL="0" distR="0" wp14:anchorId="1A724663" wp14:editId="08576CE4">
            <wp:extent cx="1876335" cy="20331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l="3856" r="3856"/>
                    <a:stretch>
                      <a:fillRect/>
                    </a:stretch>
                  </pic:blipFill>
                  <pic:spPr bwMode="auto">
                    <a:xfrm>
                      <a:off x="0" y="0"/>
                      <a:ext cx="1876335" cy="2033140"/>
                    </a:xfrm>
                    <a:prstGeom prst="rect">
                      <a:avLst/>
                    </a:prstGeom>
                    <a:ln>
                      <a:noFill/>
                    </a:ln>
                    <a:extLst>
                      <a:ext uri="{53640926-AAD7-44D8-BBD7-CCE9431645EC}">
                        <a14:shadowObscured xmlns:a14="http://schemas.microsoft.com/office/drawing/2010/main"/>
                      </a:ext>
                    </a:extLst>
                  </pic:spPr>
                </pic:pic>
              </a:graphicData>
            </a:graphic>
          </wp:inline>
        </w:drawing>
      </w:r>
    </w:p>
    <w:p w14:paraId="5C206858" w14:textId="6D16A2FA" w:rsidR="008B4A86" w:rsidRPr="008B4A86" w:rsidRDefault="00223248" w:rsidP="008B4A86">
      <w:pPr>
        <w:jc w:val="center"/>
        <w:rPr>
          <w:rFonts w:ascii="Calibri" w:hAnsi="Calibri" w:cs="Calibri"/>
          <w:i/>
          <w:iCs/>
          <w:sz w:val="16"/>
          <w:szCs w:val="16"/>
        </w:rPr>
      </w:pPr>
      <w:r>
        <w:rPr>
          <w:rFonts w:ascii="Calibri" w:hAnsi="Calibri" w:cs="Calibri"/>
          <w:i/>
          <w:iCs/>
          <w:sz w:val="16"/>
          <w:szCs w:val="16"/>
        </w:rPr>
        <w:br/>
      </w:r>
      <w:r w:rsidR="008B4A86" w:rsidRPr="008B4A86">
        <w:rPr>
          <w:rFonts w:ascii="Calibri" w:hAnsi="Calibri" w:cs="Calibri"/>
          <w:i/>
          <w:iCs/>
          <w:sz w:val="16"/>
          <w:szCs w:val="16"/>
        </w:rPr>
        <w:t xml:space="preserve">TDECU’s </w:t>
      </w:r>
      <w:r>
        <w:rPr>
          <w:rFonts w:ascii="Calibri" w:hAnsi="Calibri" w:cs="Calibri"/>
          <w:i/>
          <w:iCs/>
          <w:sz w:val="16"/>
          <w:szCs w:val="16"/>
        </w:rPr>
        <w:t>Jason Osterhage</w:t>
      </w:r>
      <w:r w:rsidR="008B4A86">
        <w:rPr>
          <w:rFonts w:ascii="Calibri" w:hAnsi="Calibri" w:cs="Calibri"/>
          <w:i/>
          <w:iCs/>
          <w:sz w:val="16"/>
          <w:szCs w:val="16"/>
        </w:rPr>
        <w:t xml:space="preserve">, Executive Vice President and Chief </w:t>
      </w:r>
      <w:r>
        <w:rPr>
          <w:rFonts w:ascii="Calibri" w:hAnsi="Calibri" w:cs="Calibri"/>
          <w:i/>
          <w:iCs/>
          <w:sz w:val="16"/>
          <w:szCs w:val="16"/>
        </w:rPr>
        <w:t>Operating</w:t>
      </w:r>
      <w:r w:rsidR="008B4A86">
        <w:rPr>
          <w:rFonts w:ascii="Calibri" w:hAnsi="Calibri" w:cs="Calibri"/>
          <w:i/>
          <w:iCs/>
          <w:sz w:val="16"/>
          <w:szCs w:val="16"/>
        </w:rPr>
        <w:t xml:space="preserve"> Officer</w:t>
      </w:r>
    </w:p>
    <w:p w14:paraId="77F497FF" w14:textId="77777777" w:rsidR="008B4A86" w:rsidRDefault="008B4A86" w:rsidP="00C004A2">
      <w:pPr>
        <w:rPr>
          <w:rFonts w:ascii="Calibri" w:hAnsi="Calibri" w:cs="Calibri"/>
          <w:b/>
          <w:bCs/>
          <w:sz w:val="36"/>
          <w:szCs w:val="36"/>
        </w:rPr>
      </w:pPr>
    </w:p>
    <w:p w14:paraId="7307C692" w14:textId="709FD3D3" w:rsidR="00961D25" w:rsidRPr="00961D25" w:rsidRDefault="00C004A2" w:rsidP="00961D25">
      <w:pPr>
        <w:rPr>
          <w:rFonts w:ascii="Times New Roman" w:eastAsia="Times New Roman" w:hAnsi="Times New Roman" w:cs="Times New Roman"/>
          <w:sz w:val="24"/>
          <w:szCs w:val="24"/>
        </w:rPr>
      </w:pPr>
      <w:r w:rsidRPr="009B75A0">
        <w:rPr>
          <w:rFonts w:ascii="Calibri" w:hAnsi="Calibri" w:cs="Calibri"/>
          <w:b/>
          <w:bCs/>
          <w:sz w:val="36"/>
          <w:szCs w:val="36"/>
        </w:rPr>
        <w:t xml:space="preserve">FOR IMMEDIATE RELEASE: </w:t>
      </w:r>
      <w:r w:rsidR="00961D25" w:rsidRPr="00961D25">
        <w:rPr>
          <w:rFonts w:ascii="Calibri" w:eastAsia="Times New Roman" w:hAnsi="Calibri" w:cs="Calibri"/>
          <w:b/>
          <w:bCs/>
          <w:color w:val="000000"/>
          <w:sz w:val="36"/>
          <w:szCs w:val="36"/>
        </w:rPr>
        <w:t xml:space="preserve">TDECU </w:t>
      </w:r>
      <w:r w:rsidR="00223248">
        <w:rPr>
          <w:rFonts w:ascii="Calibri" w:eastAsia="Times New Roman" w:hAnsi="Calibri" w:cs="Calibri"/>
          <w:b/>
          <w:bCs/>
          <w:color w:val="000000"/>
          <w:sz w:val="36"/>
          <w:szCs w:val="36"/>
        </w:rPr>
        <w:t>Announces Jason Osterhage</w:t>
      </w:r>
      <w:r w:rsidR="00961D25" w:rsidRPr="00961D25">
        <w:rPr>
          <w:rFonts w:ascii="Calibri" w:eastAsia="Times New Roman" w:hAnsi="Calibri" w:cs="Calibri"/>
          <w:b/>
          <w:bCs/>
          <w:color w:val="000000"/>
          <w:sz w:val="36"/>
          <w:szCs w:val="36"/>
        </w:rPr>
        <w:t xml:space="preserve"> </w:t>
      </w:r>
      <w:r w:rsidR="00223248">
        <w:rPr>
          <w:rFonts w:ascii="Calibri" w:eastAsia="Times New Roman" w:hAnsi="Calibri" w:cs="Calibri"/>
          <w:b/>
          <w:bCs/>
          <w:color w:val="000000"/>
          <w:sz w:val="36"/>
          <w:szCs w:val="36"/>
        </w:rPr>
        <w:t xml:space="preserve">as </w:t>
      </w:r>
      <w:r w:rsidR="00961D25" w:rsidRPr="00961D25">
        <w:rPr>
          <w:rFonts w:ascii="Calibri" w:eastAsia="Times New Roman" w:hAnsi="Calibri" w:cs="Calibri"/>
          <w:b/>
          <w:bCs/>
          <w:color w:val="000000"/>
          <w:sz w:val="36"/>
          <w:szCs w:val="36"/>
        </w:rPr>
        <w:t>Executive Vice President</w:t>
      </w:r>
      <w:r w:rsidR="00223248">
        <w:rPr>
          <w:rFonts w:ascii="Calibri" w:eastAsia="Times New Roman" w:hAnsi="Calibri" w:cs="Calibri"/>
          <w:b/>
          <w:bCs/>
          <w:color w:val="000000"/>
          <w:sz w:val="36"/>
          <w:szCs w:val="36"/>
        </w:rPr>
        <w:t xml:space="preserve"> and Chief Operating Officer</w:t>
      </w:r>
    </w:p>
    <w:p w14:paraId="4906B29C" w14:textId="77777777" w:rsidR="00C004A2" w:rsidRDefault="00C004A2" w:rsidP="00C004A2">
      <w:pPr>
        <w:rPr>
          <w:rFonts w:ascii="Calibri" w:hAnsi="Calibri" w:cs="Calibri"/>
          <w:b/>
          <w:bCs/>
          <w:sz w:val="20"/>
          <w:szCs w:val="20"/>
        </w:rPr>
      </w:pPr>
    </w:p>
    <w:p w14:paraId="186CA20D" w14:textId="3F596A9A" w:rsidR="00C94051" w:rsidRPr="002D47D2" w:rsidRDefault="00C004A2" w:rsidP="00C004A2">
      <w:pPr>
        <w:rPr>
          <w:rFonts w:ascii="Times New Roman" w:eastAsia="Times New Roman" w:hAnsi="Times New Roman" w:cs="Times New Roman"/>
          <w:sz w:val="20"/>
          <w:szCs w:val="20"/>
        </w:rPr>
      </w:pPr>
      <w:r>
        <w:rPr>
          <w:rFonts w:ascii="Calibri" w:hAnsi="Calibri" w:cs="Calibri"/>
          <w:b/>
          <w:bCs/>
          <w:sz w:val="20"/>
          <w:szCs w:val="20"/>
        </w:rPr>
        <w:t xml:space="preserve">(Lake Jackson, TX) </w:t>
      </w:r>
      <w:r>
        <w:rPr>
          <w:rFonts w:ascii="Calibri" w:hAnsi="Calibri" w:cs="Calibri"/>
          <w:sz w:val="20"/>
          <w:szCs w:val="20"/>
        </w:rPr>
        <w:t xml:space="preserve">— </w:t>
      </w:r>
      <w:hyperlink r:id="rId8" w:history="1">
        <w:r w:rsidR="00742F29" w:rsidRPr="00A342C7">
          <w:rPr>
            <w:rStyle w:val="Hyperlink"/>
            <w:rFonts w:ascii="Calibri" w:hAnsi="Calibri" w:cs="Calibri"/>
            <w:sz w:val="20"/>
            <w:szCs w:val="20"/>
          </w:rPr>
          <w:t>TDECU</w:t>
        </w:r>
      </w:hyperlink>
      <w:r w:rsidR="00742F29">
        <w:rPr>
          <w:rFonts w:ascii="Calibri" w:hAnsi="Calibri" w:cs="Calibri"/>
          <w:sz w:val="20"/>
          <w:szCs w:val="20"/>
        </w:rPr>
        <w:t xml:space="preserve"> </w:t>
      </w:r>
      <w:r w:rsidR="00223248">
        <w:rPr>
          <w:rFonts w:ascii="Calibri" w:hAnsi="Calibri" w:cs="Calibri"/>
          <w:sz w:val="20"/>
          <w:szCs w:val="20"/>
        </w:rPr>
        <w:t>announced</w:t>
      </w:r>
      <w:r w:rsidR="00742F29">
        <w:rPr>
          <w:rFonts w:ascii="Calibri" w:hAnsi="Calibri" w:cs="Calibri"/>
          <w:sz w:val="20"/>
          <w:szCs w:val="20"/>
        </w:rPr>
        <w:t xml:space="preserve"> the </w:t>
      </w:r>
      <w:r w:rsidR="00223248">
        <w:rPr>
          <w:rFonts w:ascii="Calibri" w:hAnsi="Calibri" w:cs="Calibri"/>
          <w:sz w:val="20"/>
          <w:szCs w:val="20"/>
        </w:rPr>
        <w:t xml:space="preserve">addition of Jason Osterhage to the organization, where he will lead as Executive Vice President and Chief Operating Officer. In </w:t>
      </w:r>
      <w:r w:rsidR="00305BD8">
        <w:rPr>
          <w:rFonts w:ascii="Calibri" w:hAnsi="Calibri" w:cs="Calibri"/>
          <w:sz w:val="20"/>
          <w:szCs w:val="20"/>
        </w:rPr>
        <w:t>this</w:t>
      </w:r>
      <w:r w:rsidR="00223248">
        <w:rPr>
          <w:rFonts w:ascii="Calibri" w:hAnsi="Calibri" w:cs="Calibri"/>
          <w:sz w:val="20"/>
          <w:szCs w:val="20"/>
        </w:rPr>
        <w:t xml:space="preserve"> role, Osterhage </w:t>
      </w:r>
      <w:r w:rsidR="00305BD8">
        <w:rPr>
          <w:rFonts w:ascii="Calibri" w:hAnsi="Calibri" w:cs="Calibri"/>
          <w:sz w:val="20"/>
          <w:szCs w:val="20"/>
        </w:rPr>
        <w:t xml:space="preserve">will </w:t>
      </w:r>
      <w:r w:rsidR="00305BD8" w:rsidRPr="002D47D2">
        <w:rPr>
          <w:rFonts w:ascii="Calibri" w:hAnsi="Calibri" w:cs="Calibri"/>
          <w:sz w:val="20"/>
          <w:szCs w:val="20"/>
        </w:rPr>
        <w:t xml:space="preserve">oversee </w:t>
      </w:r>
      <w:r w:rsidR="00223248" w:rsidRPr="002D47D2">
        <w:rPr>
          <w:rFonts w:ascii="Calibri" w:hAnsi="Calibri" w:cs="Calibri"/>
          <w:sz w:val="20"/>
          <w:szCs w:val="20"/>
        </w:rPr>
        <w:t xml:space="preserve">key </w:t>
      </w:r>
      <w:r w:rsidR="00E71AFF" w:rsidRPr="002D47D2">
        <w:rPr>
          <w:rFonts w:ascii="Calibri" w:hAnsi="Calibri" w:cs="Calibri"/>
          <w:sz w:val="20"/>
          <w:szCs w:val="20"/>
        </w:rPr>
        <w:t>executives</w:t>
      </w:r>
      <w:r w:rsidR="00223248" w:rsidRPr="002D47D2">
        <w:rPr>
          <w:rFonts w:ascii="Calibri" w:hAnsi="Calibri" w:cs="Calibri"/>
          <w:sz w:val="20"/>
          <w:szCs w:val="20"/>
        </w:rPr>
        <w:t xml:space="preserve"> including the Chief Banking Officer, Chief Banking Service Operations Officer, Chief Digital </w:t>
      </w:r>
      <w:r w:rsidR="00383E39" w:rsidRPr="002D47D2">
        <w:rPr>
          <w:rFonts w:ascii="Calibri" w:hAnsi="Calibri" w:cs="Calibri"/>
          <w:sz w:val="20"/>
          <w:szCs w:val="20"/>
        </w:rPr>
        <w:t>and</w:t>
      </w:r>
      <w:r w:rsidR="00223248" w:rsidRPr="002D47D2">
        <w:rPr>
          <w:rFonts w:ascii="Calibri" w:hAnsi="Calibri" w:cs="Calibri"/>
          <w:sz w:val="20"/>
          <w:szCs w:val="20"/>
        </w:rPr>
        <w:t xml:space="preserve"> Experience Officer, </w:t>
      </w:r>
      <w:r w:rsidR="002D47D2" w:rsidRPr="002D47D2">
        <w:rPr>
          <w:rFonts w:ascii="Calibri" w:hAnsi="Calibri" w:cs="Calibri"/>
          <w:sz w:val="20"/>
          <w:szCs w:val="20"/>
        </w:rPr>
        <w:t xml:space="preserve">and </w:t>
      </w:r>
      <w:r w:rsidR="00223248" w:rsidRPr="002D47D2">
        <w:rPr>
          <w:rFonts w:ascii="Calibri" w:hAnsi="Calibri" w:cs="Calibri"/>
          <w:sz w:val="20"/>
          <w:szCs w:val="20"/>
        </w:rPr>
        <w:t>Chief Marketing Officer.</w:t>
      </w:r>
      <w:r w:rsidR="002D47D2" w:rsidRPr="002D47D2">
        <w:rPr>
          <w:rFonts w:ascii="Calibri" w:hAnsi="Calibri" w:cs="Calibri"/>
          <w:sz w:val="20"/>
          <w:szCs w:val="20"/>
        </w:rPr>
        <w:t xml:space="preserve"> </w:t>
      </w:r>
    </w:p>
    <w:p w14:paraId="580D15F6" w14:textId="09105E0E" w:rsidR="00383E39" w:rsidRDefault="00383E39" w:rsidP="00C004A2">
      <w:pPr>
        <w:rPr>
          <w:rFonts w:ascii="Calibri" w:hAnsi="Calibri" w:cs="Calibri"/>
          <w:sz w:val="20"/>
          <w:szCs w:val="20"/>
        </w:rPr>
      </w:pPr>
    </w:p>
    <w:p w14:paraId="7398AFC9" w14:textId="3B8B7595" w:rsidR="00383E39" w:rsidRPr="002D47D2" w:rsidRDefault="00383E39" w:rsidP="002D47D2">
      <w:pPr>
        <w:rPr>
          <w:rFonts w:ascii="Times New Roman" w:eastAsia="Times New Roman" w:hAnsi="Times New Roman" w:cs="Times New Roman"/>
          <w:sz w:val="20"/>
          <w:szCs w:val="20"/>
        </w:rPr>
      </w:pPr>
      <w:r>
        <w:rPr>
          <w:rFonts w:ascii="Calibri" w:hAnsi="Calibri" w:cs="Calibri"/>
          <w:sz w:val="20"/>
          <w:szCs w:val="20"/>
        </w:rPr>
        <w:t xml:space="preserve">“Jason comes to TDECU after playing a pivotal role in establishing one of the largest, all-digital credit unions in the U.S. During his tenure, he successfully led </w:t>
      </w:r>
      <w:r>
        <w:rPr>
          <w:rFonts w:ascii="Calibri" w:eastAsiaTheme="minorHAnsi" w:hAnsi="Calibri" w:cs="Calibri"/>
          <w:sz w:val="20"/>
          <w:szCs w:val="20"/>
        </w:rPr>
        <w:t xml:space="preserve">efforts to rethink what modern banking should look like by combining strategic focus on core business practices </w:t>
      </w:r>
      <w:r w:rsidR="00E71AFF">
        <w:rPr>
          <w:rFonts w:ascii="Calibri" w:eastAsiaTheme="minorHAnsi" w:hAnsi="Calibri" w:cs="Calibri"/>
          <w:sz w:val="20"/>
          <w:szCs w:val="20"/>
        </w:rPr>
        <w:t>with</w:t>
      </w:r>
      <w:r>
        <w:rPr>
          <w:rFonts w:ascii="Calibri" w:eastAsiaTheme="minorHAnsi" w:hAnsi="Calibri" w:cs="Calibri"/>
          <w:sz w:val="20"/>
          <w:szCs w:val="20"/>
        </w:rPr>
        <w:t xml:space="preserve"> align</w:t>
      </w:r>
      <w:r w:rsidR="00E71AFF">
        <w:rPr>
          <w:rFonts w:ascii="Calibri" w:eastAsiaTheme="minorHAnsi" w:hAnsi="Calibri" w:cs="Calibri"/>
          <w:sz w:val="20"/>
          <w:szCs w:val="20"/>
        </w:rPr>
        <w:t>ment</w:t>
      </w:r>
      <w:r>
        <w:rPr>
          <w:rFonts w:ascii="Calibri" w:eastAsiaTheme="minorHAnsi" w:hAnsi="Calibri" w:cs="Calibri"/>
          <w:sz w:val="20"/>
          <w:szCs w:val="20"/>
        </w:rPr>
        <w:t xml:space="preserve"> </w:t>
      </w:r>
      <w:r w:rsidR="00E71AFF">
        <w:rPr>
          <w:rFonts w:ascii="Calibri" w:eastAsiaTheme="minorHAnsi" w:hAnsi="Calibri" w:cs="Calibri"/>
          <w:sz w:val="20"/>
          <w:szCs w:val="20"/>
        </w:rPr>
        <w:t>to</w:t>
      </w:r>
      <w:r>
        <w:rPr>
          <w:rFonts w:ascii="Calibri" w:eastAsiaTheme="minorHAnsi" w:hAnsi="Calibri" w:cs="Calibri"/>
          <w:sz w:val="20"/>
          <w:szCs w:val="20"/>
        </w:rPr>
        <w:t xml:space="preserve"> profitability and a member-focused experience strategy. His ability to see everyday service offerings and experiences through a new lens is making a noticeable impact on the industry</w:t>
      </w:r>
      <w:r w:rsidR="002D47D2">
        <w:rPr>
          <w:rFonts w:ascii="Calibri" w:eastAsiaTheme="minorHAnsi" w:hAnsi="Calibri" w:cs="Calibri"/>
          <w:sz w:val="20"/>
          <w:szCs w:val="20"/>
        </w:rPr>
        <w:t>.</w:t>
      </w:r>
      <w:r>
        <w:rPr>
          <w:rFonts w:ascii="Calibri" w:eastAsiaTheme="minorHAnsi" w:hAnsi="Calibri" w:cs="Calibri"/>
          <w:sz w:val="20"/>
          <w:szCs w:val="20"/>
        </w:rPr>
        <w:t xml:space="preserve"> </w:t>
      </w:r>
      <w:r w:rsidR="002D47D2">
        <w:rPr>
          <w:rFonts w:ascii="Calibri" w:eastAsiaTheme="minorHAnsi" w:hAnsi="Calibri" w:cs="Calibri"/>
          <w:sz w:val="20"/>
          <w:szCs w:val="20"/>
        </w:rPr>
        <w:t>W</w:t>
      </w:r>
      <w:r>
        <w:rPr>
          <w:rFonts w:ascii="Calibri" w:eastAsiaTheme="minorHAnsi" w:hAnsi="Calibri" w:cs="Calibri"/>
          <w:sz w:val="20"/>
          <w:szCs w:val="20"/>
        </w:rPr>
        <w:t>e anticipate great things from him here at TDECU</w:t>
      </w:r>
      <w:r w:rsidR="002D47D2">
        <w:rPr>
          <w:rFonts w:ascii="Calibri" w:eastAsiaTheme="minorHAnsi" w:hAnsi="Calibri" w:cs="Calibri"/>
          <w:sz w:val="20"/>
          <w:szCs w:val="20"/>
        </w:rPr>
        <w:t xml:space="preserve"> as we work together in </w:t>
      </w:r>
      <w:r w:rsidR="002D47D2">
        <w:rPr>
          <w:rFonts w:ascii="Calibri" w:eastAsia="Times New Roman" w:hAnsi="Calibri" w:cs="Calibri"/>
          <w:color w:val="000000"/>
          <w:sz w:val="20"/>
          <w:szCs w:val="20"/>
        </w:rPr>
        <w:t>h</w:t>
      </w:r>
      <w:r w:rsidR="002D47D2" w:rsidRPr="002D47D2">
        <w:rPr>
          <w:rFonts w:ascii="Calibri" w:eastAsia="Times New Roman" w:hAnsi="Calibri" w:cs="Calibri"/>
          <w:color w:val="000000"/>
          <w:sz w:val="20"/>
          <w:szCs w:val="20"/>
        </w:rPr>
        <w:t>elping people navigate their financial journeys</w:t>
      </w:r>
      <w:r>
        <w:rPr>
          <w:rFonts w:ascii="Calibri" w:eastAsiaTheme="minorHAnsi" w:hAnsi="Calibri" w:cs="Calibri"/>
          <w:sz w:val="20"/>
          <w:szCs w:val="20"/>
        </w:rPr>
        <w:t xml:space="preserve">,” notes </w:t>
      </w:r>
      <w:r>
        <w:rPr>
          <w:rFonts w:ascii="Calibri" w:hAnsi="Calibri" w:cs="Calibri"/>
          <w:sz w:val="20"/>
          <w:szCs w:val="20"/>
        </w:rPr>
        <w:t>President and Chief Executive Officer, Isaac Johnson</w:t>
      </w:r>
      <w:r w:rsidR="00FE14EC">
        <w:rPr>
          <w:rFonts w:ascii="Calibri" w:hAnsi="Calibri" w:cs="Calibri"/>
          <w:sz w:val="20"/>
          <w:szCs w:val="20"/>
        </w:rPr>
        <w:t>.</w:t>
      </w:r>
    </w:p>
    <w:p w14:paraId="6DE10147" w14:textId="77777777" w:rsidR="00383E39" w:rsidRDefault="00383E39" w:rsidP="00383E39">
      <w:pPr>
        <w:autoSpaceDE w:val="0"/>
        <w:autoSpaceDN w:val="0"/>
        <w:adjustRightInd w:val="0"/>
        <w:rPr>
          <w:rFonts w:ascii="Calibri" w:eastAsiaTheme="minorHAnsi" w:hAnsi="Calibri" w:cs="Calibri"/>
          <w:sz w:val="20"/>
          <w:szCs w:val="20"/>
        </w:rPr>
      </w:pPr>
    </w:p>
    <w:p w14:paraId="147833CE" w14:textId="2AA0174E" w:rsidR="00C94051" w:rsidRDefault="00D27C6B" w:rsidP="00C004A2">
      <w:pPr>
        <w:rPr>
          <w:rFonts w:ascii="Calibri" w:hAnsi="Calibri" w:cs="Calibri"/>
          <w:sz w:val="20"/>
          <w:szCs w:val="20"/>
        </w:rPr>
      </w:pPr>
      <w:r>
        <w:rPr>
          <w:rFonts w:ascii="Calibri" w:hAnsi="Calibri" w:cs="Calibri"/>
          <w:sz w:val="20"/>
          <w:szCs w:val="20"/>
        </w:rPr>
        <w:t>Osterhage joins TDECU after nine years with Chicago-based Alliant Credit Union, most recently as Senior Vice President</w:t>
      </w:r>
      <w:r w:rsidR="00E830D8">
        <w:rPr>
          <w:rFonts w:ascii="Calibri" w:hAnsi="Calibri" w:cs="Calibri"/>
          <w:sz w:val="20"/>
          <w:szCs w:val="20"/>
        </w:rPr>
        <w:t xml:space="preserve">, </w:t>
      </w:r>
      <w:r>
        <w:rPr>
          <w:rFonts w:ascii="Calibri" w:hAnsi="Calibri" w:cs="Calibri"/>
          <w:sz w:val="20"/>
          <w:szCs w:val="20"/>
        </w:rPr>
        <w:t xml:space="preserve">Chief Banking Officer. Prior to Alliant he held key positions with Delta Community Credit Union. Osterhage completed executive programs at </w:t>
      </w:r>
      <w:hyperlink r:id="rId9" w:history="1">
        <w:r w:rsidRPr="009A049A">
          <w:rPr>
            <w:rStyle w:val="Hyperlink"/>
            <w:rFonts w:ascii="Calibri" w:hAnsi="Calibri" w:cs="Calibri"/>
            <w:sz w:val="20"/>
            <w:szCs w:val="20"/>
          </w:rPr>
          <w:t>Northwestern University’s Kellogg School of Management</w:t>
        </w:r>
      </w:hyperlink>
      <w:r>
        <w:rPr>
          <w:rFonts w:ascii="Calibri" w:hAnsi="Calibri" w:cs="Calibri"/>
          <w:sz w:val="20"/>
          <w:szCs w:val="20"/>
        </w:rPr>
        <w:t xml:space="preserve"> and the Graduate School of Business at </w:t>
      </w:r>
      <w:hyperlink r:id="rId10" w:history="1">
        <w:r w:rsidRPr="009A049A">
          <w:rPr>
            <w:rStyle w:val="Hyperlink"/>
            <w:rFonts w:ascii="Calibri" w:hAnsi="Calibri" w:cs="Calibri"/>
            <w:sz w:val="20"/>
            <w:szCs w:val="20"/>
          </w:rPr>
          <w:t>Stanford University</w:t>
        </w:r>
      </w:hyperlink>
      <w:r>
        <w:rPr>
          <w:rFonts w:ascii="Calibri" w:hAnsi="Calibri" w:cs="Calibri"/>
          <w:sz w:val="20"/>
          <w:szCs w:val="20"/>
        </w:rPr>
        <w:t>, received his Master of Business Administration f</w:t>
      </w:r>
      <w:r w:rsidR="00E71AFF">
        <w:rPr>
          <w:rFonts w:ascii="Calibri" w:hAnsi="Calibri" w:cs="Calibri"/>
          <w:sz w:val="20"/>
          <w:szCs w:val="20"/>
        </w:rPr>
        <w:t>rom</w:t>
      </w:r>
      <w:r>
        <w:rPr>
          <w:rFonts w:ascii="Calibri" w:hAnsi="Calibri" w:cs="Calibri"/>
          <w:sz w:val="20"/>
          <w:szCs w:val="20"/>
        </w:rPr>
        <w:t xml:space="preserve"> </w:t>
      </w:r>
      <w:hyperlink r:id="rId11" w:history="1">
        <w:r w:rsidRPr="009A049A">
          <w:rPr>
            <w:rStyle w:val="Hyperlink"/>
            <w:rFonts w:ascii="Calibri" w:hAnsi="Calibri" w:cs="Calibri"/>
            <w:sz w:val="20"/>
            <w:szCs w:val="20"/>
          </w:rPr>
          <w:t>Emory University</w:t>
        </w:r>
      </w:hyperlink>
      <w:r>
        <w:rPr>
          <w:rFonts w:ascii="Calibri" w:hAnsi="Calibri" w:cs="Calibri"/>
          <w:sz w:val="20"/>
          <w:szCs w:val="20"/>
        </w:rPr>
        <w:t xml:space="preserve">, Master of Science from </w:t>
      </w:r>
      <w:hyperlink r:id="rId12" w:history="1">
        <w:r w:rsidRPr="009A049A">
          <w:rPr>
            <w:rStyle w:val="Hyperlink"/>
            <w:rFonts w:ascii="Calibri" w:hAnsi="Calibri" w:cs="Calibri"/>
            <w:sz w:val="20"/>
            <w:szCs w:val="20"/>
          </w:rPr>
          <w:t>Embry-Riddle Aeronautical University</w:t>
        </w:r>
      </w:hyperlink>
      <w:r>
        <w:rPr>
          <w:rFonts w:ascii="Calibri" w:hAnsi="Calibri" w:cs="Calibri"/>
          <w:sz w:val="20"/>
          <w:szCs w:val="20"/>
        </w:rPr>
        <w:t xml:space="preserve">, and Bachelor of Business Administration from </w:t>
      </w:r>
      <w:hyperlink r:id="rId13" w:history="1">
        <w:r w:rsidRPr="009A049A">
          <w:rPr>
            <w:rStyle w:val="Hyperlink"/>
            <w:rFonts w:ascii="Calibri" w:hAnsi="Calibri" w:cs="Calibri"/>
            <w:sz w:val="20"/>
            <w:szCs w:val="20"/>
          </w:rPr>
          <w:t>Georgia State University</w:t>
        </w:r>
      </w:hyperlink>
      <w:r>
        <w:rPr>
          <w:rFonts w:ascii="Calibri" w:hAnsi="Calibri" w:cs="Calibri"/>
          <w:sz w:val="20"/>
          <w:szCs w:val="20"/>
        </w:rPr>
        <w:t>. He is a Project Management Professional</w:t>
      </w:r>
      <w:r w:rsidR="00227691">
        <w:rPr>
          <w:rFonts w:ascii="Calibri" w:hAnsi="Calibri" w:cs="Calibri"/>
          <w:sz w:val="20"/>
          <w:szCs w:val="20"/>
        </w:rPr>
        <w:t xml:space="preserve"> and</w:t>
      </w:r>
      <w:r>
        <w:rPr>
          <w:rFonts w:ascii="Calibri" w:hAnsi="Calibri" w:cs="Calibri"/>
          <w:sz w:val="20"/>
          <w:szCs w:val="20"/>
        </w:rPr>
        <w:t xml:space="preserve"> Lean Six Sigma Black Belt</w:t>
      </w:r>
      <w:r w:rsidR="00227691">
        <w:rPr>
          <w:rFonts w:ascii="Calibri" w:hAnsi="Calibri" w:cs="Calibri"/>
          <w:sz w:val="20"/>
          <w:szCs w:val="20"/>
        </w:rPr>
        <w:t>.</w:t>
      </w:r>
      <w:r>
        <w:rPr>
          <w:rFonts w:ascii="Calibri" w:hAnsi="Calibri" w:cs="Calibri"/>
          <w:sz w:val="20"/>
          <w:szCs w:val="20"/>
        </w:rPr>
        <w:t xml:space="preserve"> </w:t>
      </w:r>
      <w:r w:rsidR="00227691">
        <w:rPr>
          <w:rFonts w:ascii="Calibri" w:hAnsi="Calibri" w:cs="Calibri"/>
          <w:sz w:val="20"/>
          <w:szCs w:val="20"/>
        </w:rPr>
        <w:t>Osterhage completed</w:t>
      </w:r>
      <w:r w:rsidR="00E71AFF">
        <w:rPr>
          <w:rFonts w:ascii="Calibri" w:hAnsi="Calibri" w:cs="Calibri"/>
          <w:sz w:val="20"/>
          <w:szCs w:val="20"/>
        </w:rPr>
        <w:t xml:space="preserve"> the Cardwell Group Leadership 306/2 + CEO 306 program, </w:t>
      </w:r>
      <w:r w:rsidR="001B54F5">
        <w:rPr>
          <w:rFonts w:ascii="Calibri" w:hAnsi="Calibri" w:cs="Calibri"/>
          <w:sz w:val="20"/>
          <w:szCs w:val="20"/>
        </w:rPr>
        <w:t xml:space="preserve">serves on the advisory board for a series A fintech, </w:t>
      </w:r>
      <w:r w:rsidR="00227691">
        <w:rPr>
          <w:rFonts w:ascii="Calibri" w:hAnsi="Calibri" w:cs="Calibri"/>
          <w:sz w:val="20"/>
          <w:szCs w:val="20"/>
        </w:rPr>
        <w:t xml:space="preserve">and </w:t>
      </w:r>
      <w:r w:rsidR="001B54F5">
        <w:rPr>
          <w:rFonts w:ascii="Calibri" w:hAnsi="Calibri" w:cs="Calibri"/>
          <w:sz w:val="20"/>
          <w:szCs w:val="20"/>
        </w:rPr>
        <w:t>held</w:t>
      </w:r>
      <w:r w:rsidR="00227691">
        <w:rPr>
          <w:rFonts w:ascii="Calibri" w:hAnsi="Calibri" w:cs="Calibri"/>
          <w:sz w:val="20"/>
          <w:szCs w:val="20"/>
        </w:rPr>
        <w:t xml:space="preserve"> several credit union industry board and executive committee positions with companies and organizations including </w:t>
      </w:r>
      <w:hyperlink r:id="rId14" w:history="1">
        <w:r w:rsidR="00E71AFF" w:rsidRPr="00227691">
          <w:rPr>
            <w:rStyle w:val="Hyperlink"/>
            <w:rFonts w:ascii="Calibri" w:hAnsi="Calibri" w:cs="Calibri"/>
            <w:sz w:val="20"/>
            <w:szCs w:val="20"/>
          </w:rPr>
          <w:t>CU Direct Connect</w:t>
        </w:r>
      </w:hyperlink>
      <w:r w:rsidR="00E71AFF">
        <w:rPr>
          <w:rFonts w:ascii="Calibri" w:hAnsi="Calibri" w:cs="Calibri"/>
          <w:sz w:val="20"/>
          <w:szCs w:val="20"/>
        </w:rPr>
        <w:t xml:space="preserve">, </w:t>
      </w:r>
      <w:hyperlink r:id="rId15" w:history="1">
        <w:r w:rsidR="00E71AFF" w:rsidRPr="00227691">
          <w:rPr>
            <w:rStyle w:val="Hyperlink"/>
            <w:rFonts w:ascii="Calibri" w:hAnsi="Calibri" w:cs="Calibri"/>
            <w:sz w:val="20"/>
            <w:szCs w:val="20"/>
          </w:rPr>
          <w:t>TransUnion</w:t>
        </w:r>
      </w:hyperlink>
      <w:r w:rsidR="00E71AFF">
        <w:rPr>
          <w:rFonts w:ascii="Calibri" w:hAnsi="Calibri" w:cs="Calibri"/>
          <w:sz w:val="20"/>
          <w:szCs w:val="20"/>
        </w:rPr>
        <w:t xml:space="preserve">, </w:t>
      </w:r>
      <w:r w:rsidR="00227691">
        <w:rPr>
          <w:rFonts w:ascii="Calibri" w:hAnsi="Calibri" w:cs="Calibri"/>
          <w:sz w:val="20"/>
          <w:szCs w:val="20"/>
        </w:rPr>
        <w:t xml:space="preserve">and </w:t>
      </w:r>
      <w:hyperlink r:id="rId16" w:history="1">
        <w:r w:rsidR="00227691" w:rsidRPr="00227691">
          <w:rPr>
            <w:rStyle w:val="Hyperlink"/>
            <w:rFonts w:ascii="Calibri" w:hAnsi="Calibri" w:cs="Calibri"/>
            <w:sz w:val="20"/>
            <w:szCs w:val="20"/>
          </w:rPr>
          <w:t>CUNA</w:t>
        </w:r>
      </w:hyperlink>
      <w:r w:rsidR="00E71AFF">
        <w:rPr>
          <w:rFonts w:ascii="Calibri" w:hAnsi="Calibri" w:cs="Calibri"/>
          <w:sz w:val="20"/>
          <w:szCs w:val="20"/>
        </w:rPr>
        <w:t xml:space="preserve">. </w:t>
      </w:r>
    </w:p>
    <w:p w14:paraId="39137652" w14:textId="77777777" w:rsidR="00BD6C3B" w:rsidRDefault="00BD6C3B" w:rsidP="00C004A2">
      <w:pPr>
        <w:rPr>
          <w:rFonts w:ascii="Calibri" w:hAnsi="Calibri" w:cs="Calibri"/>
          <w:sz w:val="20"/>
          <w:szCs w:val="20"/>
        </w:rPr>
      </w:pPr>
    </w:p>
    <w:p w14:paraId="14B4006E" w14:textId="1FAC8914" w:rsidR="00C004A2" w:rsidRDefault="00C004A2" w:rsidP="00C004A2">
      <w:pPr>
        <w:rPr>
          <w:rFonts w:ascii="Calibri" w:hAnsi="Calibri" w:cs="Calibri"/>
          <w:b/>
          <w:bCs/>
          <w:sz w:val="20"/>
          <w:szCs w:val="20"/>
        </w:rPr>
      </w:pPr>
      <w:r>
        <w:rPr>
          <w:rFonts w:ascii="Calibri" w:hAnsi="Calibri" w:cs="Calibri"/>
          <w:b/>
          <w:bCs/>
          <w:sz w:val="20"/>
          <w:szCs w:val="20"/>
        </w:rPr>
        <w:t xml:space="preserve">About TDECU </w:t>
      </w:r>
    </w:p>
    <w:p w14:paraId="58812D90" w14:textId="0285E5C5" w:rsidR="00C004A2" w:rsidRDefault="00C004A2" w:rsidP="00C004A2">
      <w:pPr>
        <w:rPr>
          <w:rFonts w:ascii="Calibri" w:hAnsi="Calibri" w:cs="Calibri"/>
          <w:sz w:val="20"/>
          <w:szCs w:val="20"/>
        </w:rPr>
      </w:pPr>
      <w:r>
        <w:rPr>
          <w:rFonts w:ascii="Calibri" w:hAnsi="Calibri" w:cs="Calibri"/>
          <w:sz w:val="20"/>
          <w:szCs w:val="20"/>
        </w:rPr>
        <w:t>Founded in 1955, TDECU is a not-for-profit financial cooperative with more than 35</w:t>
      </w:r>
      <w:r w:rsidR="00383EFD">
        <w:rPr>
          <w:rFonts w:ascii="Calibri" w:hAnsi="Calibri" w:cs="Calibri"/>
          <w:sz w:val="20"/>
          <w:szCs w:val="20"/>
        </w:rPr>
        <w:t>0</w:t>
      </w:r>
      <w:r>
        <w:rPr>
          <w:rFonts w:ascii="Calibri" w:hAnsi="Calibri" w:cs="Calibri"/>
          <w:sz w:val="20"/>
          <w:szCs w:val="20"/>
        </w:rPr>
        <w:t xml:space="preserve">,000 Members and over $4 billion in assets. TDECU currently has 35 Member Centers, and offers a complete selection of convenient, innovative, and competitive products and services, including a full suite of deposit products as well as mortgage, auto and personal loan products, online and mobile banking. TDECU also offers, through its subsidiaries, retirement planning and wealth management, personal and business insurance products. Members can also access a worldwide network of over 55,000 surcharge-free ATMs. For more information visit TDECU.org or call (800) 839-1154. </w:t>
      </w:r>
    </w:p>
    <w:p w14:paraId="6EBDD097" w14:textId="77777777" w:rsidR="00C004A2" w:rsidRDefault="00C004A2" w:rsidP="00C004A2">
      <w:pPr>
        <w:rPr>
          <w:rFonts w:ascii="Calibri" w:hAnsi="Calibri" w:cs="Calibri"/>
          <w:sz w:val="20"/>
          <w:szCs w:val="20"/>
        </w:rPr>
      </w:pPr>
    </w:p>
    <w:p w14:paraId="02F8248C" w14:textId="77777777" w:rsidR="00C004A2" w:rsidRPr="00AA0059" w:rsidRDefault="00C004A2" w:rsidP="00C004A2">
      <w:pPr>
        <w:jc w:val="center"/>
        <w:rPr>
          <w:rFonts w:ascii="Calibri" w:hAnsi="Calibri" w:cstheme="majorHAnsi"/>
          <w:b/>
          <w:bCs/>
        </w:rPr>
      </w:pPr>
      <w:r>
        <w:rPr>
          <w:rFonts w:ascii="Tahoma" w:hAnsi="Tahoma" w:cs="Tahoma"/>
          <w:sz w:val="20"/>
          <w:szCs w:val="20"/>
        </w:rPr>
        <w:t>-###-</w:t>
      </w:r>
    </w:p>
    <w:p w14:paraId="7CBD5079" w14:textId="77777777" w:rsidR="00554F89" w:rsidRDefault="00206D3B"/>
    <w:sectPr w:rsidR="00554F89" w:rsidSect="006F4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A2"/>
    <w:rsid w:val="00013448"/>
    <w:rsid w:val="00055C2E"/>
    <w:rsid w:val="00097FE1"/>
    <w:rsid w:val="000E4A62"/>
    <w:rsid w:val="00124BD3"/>
    <w:rsid w:val="00144F05"/>
    <w:rsid w:val="0014706C"/>
    <w:rsid w:val="00147BE4"/>
    <w:rsid w:val="001B54F5"/>
    <w:rsid w:val="001C266B"/>
    <w:rsid w:val="001F1CE5"/>
    <w:rsid w:val="00206D3B"/>
    <w:rsid w:val="00223248"/>
    <w:rsid w:val="00227691"/>
    <w:rsid w:val="002D47D2"/>
    <w:rsid w:val="00305BD8"/>
    <w:rsid w:val="00383E39"/>
    <w:rsid w:val="00383EFD"/>
    <w:rsid w:val="0040087B"/>
    <w:rsid w:val="005763CD"/>
    <w:rsid w:val="005A553B"/>
    <w:rsid w:val="005B2CE0"/>
    <w:rsid w:val="006165EC"/>
    <w:rsid w:val="00742F29"/>
    <w:rsid w:val="007D6A70"/>
    <w:rsid w:val="00851785"/>
    <w:rsid w:val="008B4A86"/>
    <w:rsid w:val="00961D25"/>
    <w:rsid w:val="00967B6F"/>
    <w:rsid w:val="009A049A"/>
    <w:rsid w:val="009A34EE"/>
    <w:rsid w:val="009A4D19"/>
    <w:rsid w:val="00A342C7"/>
    <w:rsid w:val="00A9252F"/>
    <w:rsid w:val="00AA0F14"/>
    <w:rsid w:val="00AE0398"/>
    <w:rsid w:val="00B84398"/>
    <w:rsid w:val="00BB4D0C"/>
    <w:rsid w:val="00BB4D49"/>
    <w:rsid w:val="00BD6C3B"/>
    <w:rsid w:val="00C004A2"/>
    <w:rsid w:val="00C75834"/>
    <w:rsid w:val="00C94051"/>
    <w:rsid w:val="00CB7856"/>
    <w:rsid w:val="00CD3315"/>
    <w:rsid w:val="00D27C6B"/>
    <w:rsid w:val="00D3114C"/>
    <w:rsid w:val="00E71AFF"/>
    <w:rsid w:val="00E830D8"/>
    <w:rsid w:val="00FE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3E9"/>
  <w15:chartTrackingRefBased/>
  <w15:docId w15:val="{13C8ED78-75EB-0A4B-ABE8-D17108F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4A2"/>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4A2"/>
    <w:rPr>
      <w:color w:val="0563C1" w:themeColor="hyperlink"/>
      <w:u w:val="single"/>
    </w:rPr>
  </w:style>
  <w:style w:type="character" w:styleId="UnresolvedMention">
    <w:name w:val="Unresolved Mention"/>
    <w:basedOn w:val="DefaultParagraphFont"/>
    <w:uiPriority w:val="99"/>
    <w:semiHidden/>
    <w:unhideWhenUsed/>
    <w:rsid w:val="00A342C7"/>
    <w:rPr>
      <w:color w:val="605E5C"/>
      <w:shd w:val="clear" w:color="auto" w:fill="E1DFDD"/>
    </w:rPr>
  </w:style>
  <w:style w:type="character" w:styleId="CommentReference">
    <w:name w:val="annotation reference"/>
    <w:basedOn w:val="DefaultParagraphFont"/>
    <w:uiPriority w:val="99"/>
    <w:semiHidden/>
    <w:unhideWhenUsed/>
    <w:rsid w:val="007D6A70"/>
    <w:rPr>
      <w:sz w:val="16"/>
      <w:szCs w:val="16"/>
    </w:rPr>
  </w:style>
  <w:style w:type="paragraph" w:styleId="CommentText">
    <w:name w:val="annotation text"/>
    <w:basedOn w:val="Normal"/>
    <w:link w:val="CommentTextChar"/>
    <w:uiPriority w:val="99"/>
    <w:semiHidden/>
    <w:unhideWhenUsed/>
    <w:rsid w:val="007D6A70"/>
    <w:rPr>
      <w:sz w:val="20"/>
      <w:szCs w:val="20"/>
    </w:rPr>
  </w:style>
  <w:style w:type="character" w:customStyle="1" w:styleId="CommentTextChar">
    <w:name w:val="Comment Text Char"/>
    <w:basedOn w:val="DefaultParagraphFont"/>
    <w:link w:val="CommentText"/>
    <w:uiPriority w:val="99"/>
    <w:semiHidden/>
    <w:rsid w:val="007D6A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6A70"/>
    <w:rPr>
      <w:b/>
      <w:bCs/>
    </w:rPr>
  </w:style>
  <w:style w:type="character" w:customStyle="1" w:styleId="CommentSubjectChar">
    <w:name w:val="Comment Subject Char"/>
    <w:basedOn w:val="CommentTextChar"/>
    <w:link w:val="CommentSubject"/>
    <w:uiPriority w:val="99"/>
    <w:semiHidden/>
    <w:rsid w:val="007D6A7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767">
      <w:bodyDiv w:val="1"/>
      <w:marLeft w:val="0"/>
      <w:marRight w:val="0"/>
      <w:marTop w:val="0"/>
      <w:marBottom w:val="0"/>
      <w:divBdr>
        <w:top w:val="none" w:sz="0" w:space="0" w:color="auto"/>
        <w:left w:val="none" w:sz="0" w:space="0" w:color="auto"/>
        <w:bottom w:val="none" w:sz="0" w:space="0" w:color="auto"/>
        <w:right w:val="none" w:sz="0" w:space="0" w:color="auto"/>
      </w:divBdr>
    </w:div>
    <w:div w:id="1364398483">
      <w:bodyDiv w:val="1"/>
      <w:marLeft w:val="0"/>
      <w:marRight w:val="0"/>
      <w:marTop w:val="0"/>
      <w:marBottom w:val="0"/>
      <w:divBdr>
        <w:top w:val="none" w:sz="0" w:space="0" w:color="auto"/>
        <w:left w:val="none" w:sz="0" w:space="0" w:color="auto"/>
        <w:bottom w:val="none" w:sz="0" w:space="0" w:color="auto"/>
        <w:right w:val="none" w:sz="0" w:space="0" w:color="auto"/>
      </w:divBdr>
    </w:div>
    <w:div w:id="1452092702">
      <w:bodyDiv w:val="1"/>
      <w:marLeft w:val="0"/>
      <w:marRight w:val="0"/>
      <w:marTop w:val="0"/>
      <w:marBottom w:val="0"/>
      <w:divBdr>
        <w:top w:val="none" w:sz="0" w:space="0" w:color="auto"/>
        <w:left w:val="none" w:sz="0" w:space="0" w:color="auto"/>
        <w:bottom w:val="none" w:sz="0" w:space="0" w:color="auto"/>
        <w:right w:val="none" w:sz="0" w:space="0" w:color="auto"/>
      </w:divBdr>
    </w:div>
    <w:div w:id="1641880266">
      <w:bodyDiv w:val="1"/>
      <w:marLeft w:val="0"/>
      <w:marRight w:val="0"/>
      <w:marTop w:val="0"/>
      <w:marBottom w:val="0"/>
      <w:divBdr>
        <w:top w:val="none" w:sz="0" w:space="0" w:color="auto"/>
        <w:left w:val="none" w:sz="0" w:space="0" w:color="auto"/>
        <w:bottom w:val="none" w:sz="0" w:space="0" w:color="auto"/>
        <w:right w:val="none" w:sz="0" w:space="0" w:color="auto"/>
      </w:divBdr>
    </w:div>
    <w:div w:id="20950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ecu.org/" TargetMode="External"/><Relationship Id="rId13" Type="http://schemas.openxmlformats.org/officeDocument/2006/relationships/hyperlink" Target="https://www.gsu.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rau.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una.org/" TargetMode="External"/><Relationship Id="rId1" Type="http://schemas.openxmlformats.org/officeDocument/2006/relationships/styles" Target="styles.xml"/><Relationship Id="rId6" Type="http://schemas.openxmlformats.org/officeDocument/2006/relationships/hyperlink" Target="mailto:pr@m2theagency.com" TargetMode="External"/><Relationship Id="rId11" Type="http://schemas.openxmlformats.org/officeDocument/2006/relationships/hyperlink" Target="https://www.emory.edu/home/index.html" TargetMode="External"/><Relationship Id="rId5" Type="http://schemas.openxmlformats.org/officeDocument/2006/relationships/image" Target="media/image10.jpeg"/><Relationship Id="rId15" Type="http://schemas.openxmlformats.org/officeDocument/2006/relationships/hyperlink" Target="https://www.transunion.com/" TargetMode="External"/><Relationship Id="rId10" Type="http://schemas.openxmlformats.org/officeDocument/2006/relationships/hyperlink" Target="https://www.stanford.edu/" TargetMode="External"/><Relationship Id="rId4" Type="http://schemas.openxmlformats.org/officeDocument/2006/relationships/image" Target="media/image1.jpeg"/><Relationship Id="rId9" Type="http://schemas.openxmlformats.org/officeDocument/2006/relationships/hyperlink" Target="https://www.kellogg.northwestern.edu/" TargetMode="External"/><Relationship Id="rId14" Type="http://schemas.openxmlformats.org/officeDocument/2006/relationships/hyperlink" Target="https://cudirec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Merideth Miller</dc:creator>
  <cp:keywords/>
  <dc:description/>
  <cp:lastModifiedBy>Merideth Miller</cp:lastModifiedBy>
  <cp:revision>2</cp:revision>
  <dcterms:created xsi:type="dcterms:W3CDTF">2021-08-04T16:31:00Z</dcterms:created>
  <dcterms:modified xsi:type="dcterms:W3CDTF">2021-08-04T16:31:00Z</dcterms:modified>
</cp:coreProperties>
</file>