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Sensibill Publishes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The Barcode Report</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on Consumer Travel Spending Trends</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SKU-level insights help financial institutions rethink customer engagement and loyalty strategies</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TORONTO,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June 10, 2021 –</w:t>
      </w:r>
      <w:hyperlink r:id="rId7">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 </w:t>
        </w:r>
      </w:hyperlink>
      <w:hyperlink r:id="rId8">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Sensibill</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leading provider of everyday financial tools and SKU-level insights, shares this month’s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Barcode Report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travel-related spending trends during the pandemic, leveraging item-level receipt data to uncover the deepest and most relevant insights into consumer spending. Such details are instrumental in helping banks and credit unions personalize interactions, strengthen top-of-wallet strategies, boost engagement, and drive loyalty among their customers and members.</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360" w:before="2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The Barcode Report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transforms SKU-level data derived from receipts into consumable and actionable insights that financial institutions can leverage to better understand their customers’ spending habits and behaviors. In this report, Sensibill analyzed millions of receipts from U.S. and Canadian consumers to evaluate travel-related spending behaviors in January 2020 compared to April 2021. The company defines these expenses as accommodations, flights, train tickets, receipts in consumers’ marked travel folders and those from known travel merchants like Expedia.</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 Key Takeaways: </w:t>
      </w:r>
      <w:r w:rsidDel="00000000" w:rsidR="00000000" w:rsidRPr="00000000">
        <w:rPr>
          <w:rtl w:val="0"/>
        </w:rPr>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Despite a higher rate of infection per capita in the U.S., the overall average travel expense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increased by 121%</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during COVID</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8">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More specifically, travel-related transportation expenses increased by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14-fold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travel-related accommodation expenses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tripled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travel-related parking expenses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doubled.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COVID cases decreased by 4% in January of 2021, travel expenses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increased by 183%.</w:t>
      </w:r>
      <w:r w:rsidDel="00000000" w:rsidR="00000000" w:rsidRPr="00000000">
        <w:rPr>
          <w:rtl w:val="0"/>
        </w:rPr>
      </w:r>
    </w:p>
    <w:p w:rsidR="00000000" w:rsidDel="00000000" w:rsidP="00000000" w:rsidRDefault="00000000" w:rsidRPr="00000000" w14:paraId="0000000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With people travelling closer to home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consumers no longer need to spend on luggage and baggage carriers. Luggage-related expenses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declined by 8 fold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since the pandemic.</w:t>
      </w: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Canada Key Takeaways: </w:t>
      </w:r>
      <w:r w:rsidDel="00000000" w:rsidR="00000000" w:rsidRPr="00000000">
        <w:rPr>
          <w:rtl w:val="0"/>
        </w:rPr>
      </w:r>
    </w:p>
    <w:p w:rsidR="00000000" w:rsidDel="00000000" w:rsidP="00000000" w:rsidRDefault="00000000" w:rsidRPr="00000000" w14:paraId="0000000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overall average travel expense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declined by 86%</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Canada during COVID. </w:t>
      </w:r>
    </w:p>
    <w:p w:rsidR="00000000" w:rsidDel="00000000" w:rsidP="00000000" w:rsidRDefault="00000000" w:rsidRPr="00000000" w14:paraId="0000000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COVID cases decreased by 2% in January of 2021, travel expenses in Canada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increased by only 21%. </w:t>
      </w:r>
      <w:r w:rsidDel="00000000" w:rsidR="00000000" w:rsidRPr="00000000">
        <w:rPr>
          <w:rtl w:val="0"/>
        </w:rPr>
      </w:r>
    </w:p>
    <w:p w:rsidR="00000000" w:rsidDel="00000000" w:rsidP="00000000" w:rsidRDefault="00000000" w:rsidRPr="00000000" w14:paraId="0000000F">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0">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Izabella Gabowicz, Chief Operating Officer at Sensibill, said, “This month’s </w:t>
      </w:r>
      <w:r w:rsidDel="00000000" w:rsidR="00000000" w:rsidRPr="00000000">
        <w:rPr>
          <w:rFonts w:ascii="Arial" w:cs="Arial" w:eastAsia="Arial" w:hAnsi="Arial"/>
          <w:i w:val="1"/>
          <w:color w:val="000000"/>
          <w:rtl w:val="0"/>
        </w:rPr>
        <w:t xml:space="preserve">Barcode Report</w:t>
      </w:r>
      <w:r w:rsidDel="00000000" w:rsidR="00000000" w:rsidRPr="00000000">
        <w:rPr>
          <w:rFonts w:ascii="Arial" w:cs="Arial" w:eastAsia="Arial" w:hAnsi="Arial"/>
          <w:color w:val="000000"/>
          <w:rtl w:val="0"/>
        </w:rPr>
        <w:t xml:space="preserve"> validates how understanding SKU-level data can directly impact and strengthen customer engagement strategies. For example, the banks and credit unions that analyzed SKU-level data over the past year recognized noticeable differences in consumer spending related to travel. While each region had a different response, the data revealed that travel didn’t stop completely – it shifted. Those that recognized this could offer relevant </w:t>
      </w:r>
      <w:r w:rsidDel="00000000" w:rsidR="00000000" w:rsidRPr="00000000">
        <w:rPr>
          <w:rFonts w:ascii="Arial" w:cs="Arial" w:eastAsia="Arial" w:hAnsi="Arial"/>
          <w:color w:val="000000"/>
          <w:rtl w:val="0"/>
        </w:rPr>
        <w:t xml:space="preserve">advice, deals, promotions</w:t>
      </w:r>
      <w:r w:rsidDel="00000000" w:rsidR="00000000" w:rsidRPr="00000000">
        <w:rPr>
          <w:rFonts w:ascii="Arial" w:cs="Arial" w:eastAsia="Arial" w:hAnsi="Arial"/>
          <w:color w:val="000000"/>
          <w:rtl w:val="0"/>
        </w:rPr>
        <w:t xml:space="preserve">, insurance, a</w:t>
      </w:r>
      <w:r w:rsidDel="00000000" w:rsidR="00000000" w:rsidRPr="00000000">
        <w:rPr>
          <w:rFonts w:ascii="Arial" w:cs="Arial" w:eastAsia="Arial" w:hAnsi="Arial"/>
          <w:rtl w:val="0"/>
        </w:rPr>
        <w:t xml:space="preserve">nd card products</w:t>
      </w:r>
      <w:r w:rsidDel="00000000" w:rsidR="00000000" w:rsidRPr="00000000">
        <w:rPr>
          <w:rFonts w:ascii="Arial" w:cs="Arial" w:eastAsia="Arial" w:hAnsi="Arial"/>
          <w:color w:val="000000"/>
          <w:rtl w:val="0"/>
        </w:rPr>
        <w:t xml:space="preserve"> for local travel, unlike competitors that assumed travel stopped entirely and missed relevant opportunities to meaningfully engage with customers.”</w:t>
      </w:r>
    </w:p>
    <w:p w:rsidR="00000000" w:rsidDel="00000000" w:rsidP="00000000" w:rsidRDefault="00000000" w:rsidRPr="00000000" w14:paraId="00000011">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spacing w:after="0" w:line="240" w:lineRule="auto"/>
        <w:rPr>
          <w:rFonts w:ascii="Arial" w:cs="Arial" w:eastAsia="Arial" w:hAnsi="Arial"/>
        </w:rPr>
      </w:pPr>
      <w:r w:rsidDel="00000000" w:rsidR="00000000" w:rsidRPr="00000000">
        <w:rPr>
          <w:rFonts w:ascii="Arial" w:cs="Arial" w:eastAsia="Arial" w:hAnsi="Arial"/>
          <w:color w:val="000000"/>
          <w:rtl w:val="0"/>
        </w:rPr>
        <w:t xml:space="preserve">Financial institutions can click </w:t>
      </w:r>
      <w:hyperlink r:id="rId9">
        <w:r w:rsidDel="00000000" w:rsidR="00000000" w:rsidRPr="00000000">
          <w:rPr>
            <w:rFonts w:ascii="Arial" w:cs="Arial" w:eastAsia="Arial" w:hAnsi="Arial"/>
            <w:color w:val="1155cc"/>
            <w:u w:val="single"/>
            <w:rtl w:val="0"/>
          </w:rPr>
          <w:t xml:space="preserve">here</w:t>
        </w:r>
      </w:hyperlink>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to see the</w:t>
      </w:r>
      <w:r w:rsidDel="00000000" w:rsidR="00000000" w:rsidRPr="00000000">
        <w:rPr>
          <w:rFonts w:ascii="Arial" w:cs="Arial" w:eastAsia="Arial" w:hAnsi="Arial"/>
          <w:color w:val="000000"/>
          <w:rtl w:val="0"/>
        </w:rPr>
        <w:t xml:space="preserve"> full version of the June report, inclusive of SKU-level insights to help them meet the needs of customers in their ‘new normal.’</w:t>
      </w:r>
      <w:r w:rsidDel="00000000" w:rsidR="00000000" w:rsidRPr="00000000">
        <w:rPr>
          <w:rtl w:val="0"/>
        </w:rPr>
      </w:r>
    </w:p>
    <w:p w:rsidR="00000000" w:rsidDel="00000000" w:rsidP="00000000" w:rsidRDefault="00000000" w:rsidRPr="00000000" w14:paraId="00000013">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15">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7">
      <w:pPr>
        <w:shd w:fill="ffffff" w:val="clear"/>
        <w:spacing w:after="0" w:line="240" w:lineRule="auto"/>
        <w:rPr>
          <w:rFonts w:ascii="Arial" w:cs="Arial" w:eastAsia="Arial" w:hAnsi="Arial"/>
        </w:rPr>
      </w:pPr>
      <w:r w:rsidDel="00000000" w:rsidR="00000000" w:rsidRPr="00000000">
        <w:rPr>
          <w:rFonts w:ascii="Arial" w:cs="Arial" w:eastAsia="Arial" w:hAnsi="Arial"/>
          <w:b w:val="1"/>
          <w:color w:val="000000"/>
          <w:rtl w:val="0"/>
        </w:rPr>
        <w:t xml:space="preserve">About Sensibill</w:t>
      </w:r>
      <w:r w:rsidDel="00000000" w:rsidR="00000000" w:rsidRPr="00000000">
        <w:rPr>
          <w:rtl w:val="0"/>
        </w:rPr>
      </w:r>
    </w:p>
    <w:p w:rsidR="00000000" w:rsidDel="00000000" w:rsidP="00000000" w:rsidRDefault="00000000" w:rsidRPr="00000000" w14:paraId="00000018">
      <w:pPr>
        <w:shd w:fill="ffffff" w:val="clear"/>
        <w:spacing w:after="240" w:line="240" w:lineRule="auto"/>
        <w:rPr>
          <w:rFonts w:ascii="Arial" w:cs="Arial" w:eastAsia="Arial" w:hAnsi="Arial"/>
        </w:rPr>
      </w:pPr>
      <w:r w:rsidDel="00000000" w:rsidR="00000000" w:rsidRPr="00000000">
        <w:rPr>
          <w:rFonts w:ascii="Arial" w:cs="Arial" w:eastAsia="Arial" w:hAnsi="Arial"/>
          <w:color w:val="000000"/>
          <w:rtl w:val="0"/>
        </w:rPr>
        <w:t xml:space="preserve">Sensibill provides everyday financial tools and makes SKU-level data actionable, equipping financial institutions with personalized insights to help their customers build healthier financial habits. The AI-powered solution enables end-users to easily track their spending and manage their finances while unlocking unprecedented insights for the institution. Sensibill has rolled out its technology to over 60 million users across North America and the U.K. Visit</w:t>
      </w:r>
      <w:hyperlink r:id="rId10">
        <w:r w:rsidDel="00000000" w:rsidR="00000000" w:rsidRPr="00000000">
          <w:rPr>
            <w:rFonts w:ascii="Arial" w:cs="Arial" w:eastAsia="Arial" w:hAnsi="Arial"/>
            <w:color w:val="000000"/>
            <w:u w:val="single"/>
            <w:rtl w:val="0"/>
          </w:rPr>
          <w:t xml:space="preserve"> </w:t>
        </w:r>
      </w:hyperlink>
      <w:hyperlink r:id="rId11">
        <w:r w:rsidDel="00000000" w:rsidR="00000000" w:rsidRPr="00000000">
          <w:rPr>
            <w:rFonts w:ascii="Arial" w:cs="Arial" w:eastAsia="Arial" w:hAnsi="Arial"/>
            <w:color w:val="1155cc"/>
            <w:u w:val="single"/>
            <w:rtl w:val="0"/>
          </w:rPr>
          <w:t xml:space="preserve">getsensibill.com</w:t>
        </w:r>
      </w:hyperlink>
      <w:r w:rsidDel="00000000" w:rsidR="00000000" w:rsidRPr="00000000">
        <w:rPr>
          <w:rFonts w:ascii="Arial" w:cs="Arial" w:eastAsia="Arial" w:hAnsi="Arial"/>
          <w:color w:val="000000"/>
          <w:rtl w:val="0"/>
        </w:rPr>
        <w:t xml:space="preserve"> to learn more.</w:t>
      </w:r>
      <w:r w:rsidDel="00000000" w:rsidR="00000000" w:rsidRPr="00000000">
        <w:rPr>
          <w:rtl w:val="0"/>
        </w:rPr>
      </w:r>
    </w:p>
    <w:tbl>
      <w:tblPr>
        <w:tblStyle w:val="Table1"/>
        <w:tblW w:w="3581.0" w:type="dxa"/>
        <w:jc w:val="left"/>
        <w:tblInd w:w="0.0" w:type="dxa"/>
        <w:tblLayout w:type="fixed"/>
        <w:tblLook w:val="0400"/>
      </w:tblPr>
      <w:tblGrid>
        <w:gridCol w:w="1483"/>
        <w:gridCol w:w="2098"/>
        <w:tblGridChange w:id="0">
          <w:tblGrid>
            <w:gridCol w:w="1483"/>
            <w:gridCol w:w="2098"/>
          </w:tblGrid>
        </w:tblGridChange>
      </w:tblGrid>
      <w:tr>
        <w:trPr>
          <w:trHeight w:val="300" w:hRule="atLeast"/>
        </w:trPr>
        <w:tc>
          <w:tcPr>
            <w:shd w:fill="ffffff" w:val="clear"/>
            <w:tcMar>
              <w:top w:w="20.0" w:type="dxa"/>
              <w:left w:w="20.0" w:type="dxa"/>
              <w:bottom w:w="20.0" w:type="dxa"/>
              <w:right w:w="20.0" w:type="dxa"/>
            </w:tcMar>
          </w:tcPr>
          <w:p w:rsidR="00000000" w:rsidDel="00000000" w:rsidP="00000000" w:rsidRDefault="00000000" w:rsidRPr="00000000" w14:paraId="00000019">
            <w:pPr>
              <w:spacing w:after="0" w:before="240" w:line="240" w:lineRule="auto"/>
              <w:rPr>
                <w:rFonts w:ascii="Arial" w:cs="Arial" w:eastAsia="Arial" w:hAnsi="Arial"/>
              </w:rPr>
            </w:pPr>
            <w:r w:rsidDel="00000000" w:rsidR="00000000" w:rsidRPr="00000000">
              <w:rPr>
                <w:rFonts w:ascii="Arial" w:cs="Arial" w:eastAsia="Arial" w:hAnsi="Arial"/>
                <w:color w:val="000000"/>
                <w:rtl w:val="0"/>
              </w:rPr>
              <w:t xml:space="preserve">Press Contact:</w:t>
            </w:r>
            <w:r w:rsidDel="00000000" w:rsidR="00000000" w:rsidRPr="00000000">
              <w:rPr>
                <w:rtl w:val="0"/>
              </w:rPr>
            </w:r>
          </w:p>
        </w:tc>
        <w:tc>
          <w:tcPr>
            <w:shd w:fill="ffffff" w:val="clear"/>
            <w:tcMar>
              <w:top w:w="20.0" w:type="dxa"/>
              <w:left w:w="20.0" w:type="dxa"/>
              <w:bottom w:w="20.0" w:type="dxa"/>
              <w:right w:w="20.0" w:type="dxa"/>
            </w:tcMar>
          </w:tcPr>
          <w:p w:rsidR="00000000" w:rsidDel="00000000" w:rsidP="00000000" w:rsidRDefault="00000000" w:rsidRPr="00000000" w14:paraId="0000001A">
            <w:pPr>
              <w:spacing w:after="0" w:before="240" w:line="240" w:lineRule="auto"/>
              <w:rPr>
                <w:rFonts w:ascii="Arial" w:cs="Arial" w:eastAsia="Arial" w:hAnsi="Arial"/>
              </w:rPr>
            </w:pPr>
            <w:r w:rsidDel="00000000" w:rsidR="00000000" w:rsidRPr="00000000">
              <w:rPr>
                <w:rFonts w:ascii="Arial" w:cs="Arial" w:eastAsia="Arial" w:hAnsi="Arial"/>
                <w:color w:val="000000"/>
                <w:rtl w:val="0"/>
              </w:rPr>
              <w:t xml:space="preserve">Ivy Lee</w:t>
            </w:r>
            <w:r w:rsidDel="00000000" w:rsidR="00000000" w:rsidRPr="00000000">
              <w:rPr>
                <w:rtl w:val="0"/>
              </w:rPr>
            </w:r>
          </w:p>
        </w:tc>
      </w:tr>
      <w:tr>
        <w:trPr>
          <w:trHeight w:val="300" w:hRule="atLeast"/>
        </w:trPr>
        <w:tc>
          <w:tcPr>
            <w:shd w:fill="ffffff" w:val="clear"/>
            <w:tcMar>
              <w:top w:w="20.0" w:type="dxa"/>
              <w:left w:w="20.0" w:type="dxa"/>
              <w:bottom w:w="20.0" w:type="dxa"/>
              <w:right w:w="20.0" w:type="dxa"/>
            </w:tcMar>
          </w:tcPr>
          <w:p w:rsidR="00000000" w:rsidDel="00000000" w:rsidP="00000000" w:rsidRDefault="00000000" w:rsidRPr="00000000" w14:paraId="0000001B">
            <w:pPr>
              <w:spacing w:after="0" w:before="240" w:line="240" w:lineRule="auto"/>
              <w:rPr>
                <w:rFonts w:ascii="Arial" w:cs="Arial" w:eastAsia="Arial" w:hAnsi="Arial"/>
              </w:rPr>
            </w:pPr>
            <w:r w:rsidDel="00000000" w:rsidR="00000000" w:rsidRPr="00000000">
              <w:rPr>
                <w:rFonts w:ascii="Arial" w:cs="Arial" w:eastAsia="Arial" w:hAnsi="Arial"/>
                <w:color w:val="000000"/>
                <w:rtl w:val="0"/>
              </w:rPr>
              <w:t xml:space="preserve"> </w:t>
            </w:r>
            <w:r w:rsidDel="00000000" w:rsidR="00000000" w:rsidRPr="00000000">
              <w:rPr>
                <w:rtl w:val="0"/>
              </w:rPr>
            </w:r>
          </w:p>
        </w:tc>
        <w:tc>
          <w:tcPr>
            <w:shd w:fill="ffffff" w:val="clear"/>
            <w:tcMar>
              <w:top w:w="20.0" w:type="dxa"/>
              <w:left w:w="20.0" w:type="dxa"/>
              <w:bottom w:w="20.0" w:type="dxa"/>
              <w:right w:w="20.0" w:type="dxa"/>
            </w:tcMar>
          </w:tcPr>
          <w:p w:rsidR="00000000" w:rsidDel="00000000" w:rsidP="00000000" w:rsidRDefault="00000000" w:rsidRPr="00000000" w14:paraId="0000001C">
            <w:pPr>
              <w:spacing w:after="0" w:before="240" w:line="240" w:lineRule="auto"/>
              <w:rPr>
                <w:rFonts w:ascii="Arial" w:cs="Arial" w:eastAsia="Arial" w:hAnsi="Arial"/>
              </w:rPr>
            </w:pPr>
            <w:r w:rsidDel="00000000" w:rsidR="00000000" w:rsidRPr="00000000">
              <w:rPr>
                <w:rFonts w:ascii="Arial" w:cs="Arial" w:eastAsia="Arial" w:hAnsi="Arial"/>
                <w:color w:val="000000"/>
                <w:rtl w:val="0"/>
              </w:rPr>
              <w:t xml:space="preserve">VP of Marketing</w:t>
            </w:r>
            <w:r w:rsidDel="00000000" w:rsidR="00000000" w:rsidRPr="00000000">
              <w:rPr>
                <w:rtl w:val="0"/>
              </w:rPr>
            </w:r>
          </w:p>
        </w:tc>
      </w:tr>
      <w:tr>
        <w:trPr>
          <w:trHeight w:val="300" w:hRule="atLeast"/>
        </w:trPr>
        <w:tc>
          <w:tcPr>
            <w:shd w:fill="ffffff" w:val="clear"/>
            <w:tcMar>
              <w:top w:w="20.0" w:type="dxa"/>
              <w:left w:w="20.0" w:type="dxa"/>
              <w:bottom w:w="20.0" w:type="dxa"/>
              <w:right w:w="20.0" w:type="dxa"/>
            </w:tcMar>
          </w:tcPr>
          <w:p w:rsidR="00000000" w:rsidDel="00000000" w:rsidP="00000000" w:rsidRDefault="00000000" w:rsidRPr="00000000" w14:paraId="0000001D">
            <w:pPr>
              <w:spacing w:after="0" w:before="240" w:line="240" w:lineRule="auto"/>
              <w:rPr>
                <w:rFonts w:ascii="Arial" w:cs="Arial" w:eastAsia="Arial" w:hAnsi="Arial"/>
              </w:rPr>
            </w:pPr>
            <w:r w:rsidDel="00000000" w:rsidR="00000000" w:rsidRPr="00000000">
              <w:rPr>
                <w:rFonts w:ascii="Arial" w:cs="Arial" w:eastAsia="Arial" w:hAnsi="Arial"/>
                <w:color w:val="000000"/>
                <w:rtl w:val="0"/>
              </w:rPr>
              <w:t xml:space="preserve"> </w:t>
            </w:r>
            <w:r w:rsidDel="00000000" w:rsidR="00000000" w:rsidRPr="00000000">
              <w:rPr>
                <w:rtl w:val="0"/>
              </w:rPr>
            </w:r>
          </w:p>
        </w:tc>
        <w:tc>
          <w:tcPr>
            <w:shd w:fill="ffffff" w:val="clear"/>
            <w:tcMar>
              <w:top w:w="20.0" w:type="dxa"/>
              <w:left w:w="20.0" w:type="dxa"/>
              <w:bottom w:w="20.0" w:type="dxa"/>
              <w:right w:w="20.0" w:type="dxa"/>
            </w:tcMar>
          </w:tcPr>
          <w:p w:rsidR="00000000" w:rsidDel="00000000" w:rsidP="00000000" w:rsidRDefault="00000000" w:rsidRPr="00000000" w14:paraId="0000001E">
            <w:pPr>
              <w:spacing w:after="0" w:before="240" w:line="240" w:lineRule="auto"/>
              <w:rPr>
                <w:rFonts w:ascii="Arial" w:cs="Arial" w:eastAsia="Arial" w:hAnsi="Arial"/>
              </w:rPr>
            </w:pPr>
            <w:r w:rsidDel="00000000" w:rsidR="00000000" w:rsidRPr="00000000">
              <w:rPr>
                <w:rFonts w:ascii="Arial" w:cs="Arial" w:eastAsia="Arial" w:hAnsi="Arial"/>
                <w:color w:val="000000"/>
                <w:rtl w:val="0"/>
              </w:rPr>
              <w:t xml:space="preserve">ivy@getsensibill.com</w:t>
            </w:r>
            <w:r w:rsidDel="00000000" w:rsidR="00000000" w:rsidRPr="00000000">
              <w:rPr>
                <w:rtl w:val="0"/>
              </w:rPr>
            </w:r>
          </w:p>
        </w:tc>
      </w:tr>
    </w:tbl>
    <w:p w:rsidR="00000000" w:rsidDel="00000000" w:rsidP="00000000" w:rsidRDefault="00000000" w:rsidRPr="00000000" w14:paraId="0000001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2235EC"/>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unhideWhenUsed w:val="1"/>
    <w:rsid w:val="002235EC"/>
    <w:rPr>
      <w:color w:val="0000ff"/>
      <w:u w:val="single"/>
    </w:rPr>
  </w:style>
  <w:style w:type="paragraph" w:styleId="ListParagraph">
    <w:name w:val="List Paragraph"/>
    <w:basedOn w:val="Normal"/>
    <w:uiPriority w:val="34"/>
    <w:qFormat w:val="1"/>
    <w:rsid w:val="00431448"/>
    <w:pPr>
      <w:ind w:left="720"/>
      <w:contextualSpacing w:val="1"/>
    </w:pPr>
  </w:style>
  <w:style w:type="character" w:styleId="CommentReference">
    <w:name w:val="annotation reference"/>
    <w:basedOn w:val="DefaultParagraphFont"/>
    <w:uiPriority w:val="99"/>
    <w:semiHidden w:val="1"/>
    <w:unhideWhenUsed w:val="1"/>
    <w:rsid w:val="004E140B"/>
    <w:rPr>
      <w:sz w:val="16"/>
      <w:szCs w:val="16"/>
    </w:rPr>
  </w:style>
  <w:style w:type="paragraph" w:styleId="CommentText">
    <w:name w:val="annotation text"/>
    <w:basedOn w:val="Normal"/>
    <w:link w:val="CommentTextChar"/>
    <w:uiPriority w:val="99"/>
    <w:semiHidden w:val="1"/>
    <w:unhideWhenUsed w:val="1"/>
    <w:rsid w:val="004E140B"/>
    <w:pPr>
      <w:spacing w:line="240" w:lineRule="auto"/>
    </w:pPr>
    <w:rPr>
      <w:sz w:val="20"/>
      <w:szCs w:val="20"/>
    </w:rPr>
  </w:style>
  <w:style w:type="character" w:styleId="CommentTextChar" w:customStyle="1">
    <w:name w:val="Comment Text Char"/>
    <w:basedOn w:val="DefaultParagraphFont"/>
    <w:link w:val="CommentText"/>
    <w:uiPriority w:val="99"/>
    <w:semiHidden w:val="1"/>
    <w:rsid w:val="004E140B"/>
    <w:rPr>
      <w:sz w:val="20"/>
      <w:szCs w:val="20"/>
    </w:rPr>
  </w:style>
  <w:style w:type="paragraph" w:styleId="CommentSubject">
    <w:name w:val="annotation subject"/>
    <w:basedOn w:val="CommentText"/>
    <w:next w:val="CommentText"/>
    <w:link w:val="CommentSubjectChar"/>
    <w:uiPriority w:val="99"/>
    <w:semiHidden w:val="1"/>
    <w:unhideWhenUsed w:val="1"/>
    <w:rsid w:val="004E140B"/>
    <w:rPr>
      <w:b w:val="1"/>
      <w:bCs w:val="1"/>
    </w:rPr>
  </w:style>
  <w:style w:type="character" w:styleId="CommentSubjectChar" w:customStyle="1">
    <w:name w:val="Comment Subject Char"/>
    <w:basedOn w:val="CommentTextChar"/>
    <w:link w:val="CommentSubject"/>
    <w:uiPriority w:val="99"/>
    <w:semiHidden w:val="1"/>
    <w:rsid w:val="004E140B"/>
    <w:rPr>
      <w:b w:val="1"/>
      <w:bCs w:val="1"/>
      <w:sz w:val="20"/>
      <w:szCs w:val="20"/>
    </w:rPr>
  </w:style>
  <w:style w:type="character" w:styleId="UnresolvedMention">
    <w:name w:val="Unresolved Mention"/>
    <w:basedOn w:val="DefaultParagraphFont"/>
    <w:uiPriority w:val="99"/>
    <w:semiHidden w:val="1"/>
    <w:unhideWhenUsed w:val="1"/>
    <w:rsid w:val="007335AC"/>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getsensibill.com/" TargetMode="External"/><Relationship Id="rId10" Type="http://schemas.openxmlformats.org/officeDocument/2006/relationships/hyperlink" Target="http://getsensibill.com/" TargetMode="External"/><Relationship Id="rId9" Type="http://schemas.openxmlformats.org/officeDocument/2006/relationships/hyperlink" Target="https://getsensibill.com/blog/barcode-june-report-consumer-travel-spend?utm_source=june-barcode-press-release&amp;utm_medium=pr&amp;utm_campaign=june-2021-repor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getsensibill.com/" TargetMode="External"/><Relationship Id="rId8" Type="http://schemas.openxmlformats.org/officeDocument/2006/relationships/hyperlink" Target="https://getsensibi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5KkabVRmR+kGzMdqe/FrbD0DUg==">AMUW2mWy6kYW7w4RkVtn2fVqBGLc8IY4tXkuJwPVv+apATzWPrxgNUTIy3ssRVXtlB/dIppNnl+WqOf2j4My3SOapXuoPIHG6VCPXru7f/t3DyvHUO9UEvE=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2021-06-08T19:06:00Z</dcterms:created>
  <dc:creator>Samantha Wheeler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0x01010004D87FBCB0FE9743934C6250836C5F2E</vt:lpwstr>
  </property>
</Properties>
</file>