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4C3E4" w14:textId="77777777" w:rsidR="00884A74" w:rsidRDefault="00FA5B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099A2B39" wp14:editId="7A78D876">
            <wp:simplePos x="0" y="0"/>
            <wp:positionH relativeFrom="margin">
              <wp:posOffset>3752850</wp:posOffset>
            </wp:positionH>
            <wp:positionV relativeFrom="margin">
              <wp:posOffset>-304798</wp:posOffset>
            </wp:positionV>
            <wp:extent cx="2199005" cy="716280"/>
            <wp:effectExtent l="0" t="0" r="0" b="0"/>
            <wp:wrapSquare wrapText="bothSides" distT="0" distB="0" distL="114300" distR="114300"/>
            <wp:docPr id="2" name="image1.png" descr="Finzly - Elegance in Bank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inzly - Elegance in Banki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9005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000000"/>
          <w:sz w:val="20"/>
          <w:szCs w:val="20"/>
        </w:rPr>
        <w:t>MEDIA CONTACT:</w:t>
      </w:r>
      <w:r>
        <w:rPr>
          <w:rFonts w:ascii="Arial" w:eastAsia="Arial" w:hAnsi="Arial" w:cs="Arial"/>
          <w:color w:val="000000"/>
          <w:sz w:val="18"/>
          <w:szCs w:val="18"/>
        </w:rPr>
        <w:t>  </w:t>
      </w:r>
    </w:p>
    <w:p w14:paraId="34ABBC7F" w14:textId="77777777" w:rsidR="00884A74" w:rsidRDefault="00FA5B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0"/>
          <w:szCs w:val="20"/>
        </w:rPr>
        <w:t>Augusta Bauknight </w:t>
      </w:r>
    </w:p>
    <w:p w14:paraId="3B6B3698" w14:textId="77777777" w:rsidR="00884A74" w:rsidRDefault="002031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hyperlink r:id="rId10">
        <w:r w:rsidR="00FA5BC0">
          <w:rPr>
            <w:rFonts w:ascii="Arial" w:eastAsia="Arial" w:hAnsi="Arial" w:cs="Arial"/>
            <w:color w:val="0000FF"/>
            <w:sz w:val="20"/>
            <w:szCs w:val="20"/>
            <w:u w:val="single"/>
          </w:rPr>
          <w:t>augusta@williammills.com</w:t>
        </w:r>
      </w:hyperlink>
      <w:r w:rsidR="00FA5BC0"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1B1A329F" w14:textId="77777777" w:rsidR="00884A74" w:rsidRDefault="00FA5B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0"/>
          <w:szCs w:val="20"/>
        </w:rPr>
        <w:t>678-781-7214 </w:t>
      </w:r>
    </w:p>
    <w:p w14:paraId="5714C997" w14:textId="77777777" w:rsidR="00884A74" w:rsidRDefault="00884A74">
      <w:pPr>
        <w:spacing w:after="0"/>
        <w:rPr>
          <w:rFonts w:ascii="Arial" w:eastAsia="Arial" w:hAnsi="Arial" w:cs="Arial"/>
          <w:color w:val="000000"/>
          <w:sz w:val="18"/>
          <w:szCs w:val="18"/>
        </w:rPr>
      </w:pPr>
    </w:p>
    <w:p w14:paraId="538678CD" w14:textId="77777777" w:rsidR="00884A74" w:rsidRDefault="00884A74">
      <w:pPr>
        <w:spacing w:after="0"/>
        <w:rPr>
          <w:rFonts w:ascii="Arial" w:eastAsia="Arial" w:hAnsi="Arial" w:cs="Arial"/>
          <w:b/>
        </w:rPr>
      </w:pPr>
    </w:p>
    <w:p w14:paraId="4BFD44D2" w14:textId="1F5F7F1B" w:rsidR="00E83723" w:rsidRPr="007D7EE3" w:rsidRDefault="00BA3C28" w:rsidP="00A310A5">
      <w:pPr>
        <w:spacing w:after="0"/>
        <w:jc w:val="center"/>
        <w:rPr>
          <w:rFonts w:ascii="Arial" w:eastAsia="Arial" w:hAnsi="Arial" w:cs="Arial"/>
          <w:b/>
        </w:rPr>
      </w:pPr>
      <w:r w:rsidRPr="007D7EE3">
        <w:rPr>
          <w:rFonts w:ascii="Arial" w:eastAsia="Arial" w:hAnsi="Arial" w:cs="Arial"/>
          <w:b/>
        </w:rPr>
        <w:t>Fulton</w:t>
      </w:r>
      <w:r w:rsidR="00FA5BC0" w:rsidRPr="007D7EE3">
        <w:rPr>
          <w:rFonts w:ascii="Arial" w:eastAsia="Arial" w:hAnsi="Arial" w:cs="Arial"/>
          <w:b/>
        </w:rPr>
        <w:t xml:space="preserve"> Bank </w:t>
      </w:r>
      <w:r w:rsidRPr="007D7EE3">
        <w:rPr>
          <w:rFonts w:ascii="Arial" w:eastAsia="Arial" w:hAnsi="Arial" w:cs="Arial"/>
          <w:b/>
        </w:rPr>
        <w:t>Streamlines Foreign Exchange</w:t>
      </w:r>
      <w:r w:rsidR="006C0D46" w:rsidRPr="007D7EE3">
        <w:rPr>
          <w:rFonts w:ascii="Arial" w:eastAsia="Arial" w:hAnsi="Arial" w:cs="Arial"/>
          <w:b/>
        </w:rPr>
        <w:t xml:space="preserve"> and Trade Finance Operations with Finzly FX STAR and EXIM STAR</w:t>
      </w:r>
    </w:p>
    <w:p w14:paraId="55352BB1" w14:textId="77777777" w:rsidR="00884A74" w:rsidRPr="007D7EE3" w:rsidRDefault="00884A74">
      <w:pPr>
        <w:spacing w:after="0"/>
        <w:rPr>
          <w:rFonts w:ascii="Arial" w:eastAsia="Arial" w:hAnsi="Arial" w:cs="Arial"/>
          <w:i/>
          <w:color w:val="FF0000"/>
          <w:sz w:val="18"/>
          <w:szCs w:val="18"/>
        </w:rPr>
      </w:pPr>
    </w:p>
    <w:p w14:paraId="0BF5C713" w14:textId="373109F2" w:rsidR="00884A74" w:rsidRPr="007D7EE3" w:rsidRDefault="007D7EE3" w:rsidP="007D7EE3">
      <w:pPr>
        <w:spacing w:after="0" w:line="360" w:lineRule="auto"/>
        <w:jc w:val="center"/>
        <w:rPr>
          <w:rFonts w:ascii="Arial" w:eastAsia="Arial" w:hAnsi="Arial" w:cs="Arial"/>
          <w:i/>
          <w:sz w:val="20"/>
          <w:szCs w:val="20"/>
        </w:rPr>
      </w:pPr>
      <w:r w:rsidRPr="00D1220E">
        <w:rPr>
          <w:rFonts w:ascii="Arial" w:eastAsia="Arial" w:hAnsi="Arial" w:cs="Arial"/>
          <w:i/>
          <w:sz w:val="20"/>
          <w:szCs w:val="20"/>
        </w:rPr>
        <w:t xml:space="preserve">Bank streamlines and automates its international banking sales and operations with </w:t>
      </w:r>
      <w:proofErr w:type="spellStart"/>
      <w:r w:rsidRPr="00D1220E">
        <w:rPr>
          <w:rFonts w:ascii="Arial" w:eastAsia="Arial" w:hAnsi="Arial" w:cs="Arial"/>
          <w:i/>
          <w:sz w:val="20"/>
          <w:szCs w:val="20"/>
        </w:rPr>
        <w:t>Finzly</w:t>
      </w:r>
      <w:proofErr w:type="spellEnd"/>
      <w:r w:rsidRPr="00D1220E">
        <w:rPr>
          <w:rFonts w:ascii="Arial" w:eastAsia="Arial" w:hAnsi="Arial" w:cs="Arial"/>
          <w:i/>
          <w:sz w:val="20"/>
          <w:szCs w:val="20"/>
        </w:rPr>
        <w:t xml:space="preserve"> solutions</w:t>
      </w:r>
    </w:p>
    <w:p w14:paraId="6F576C1E" w14:textId="77777777" w:rsidR="007D7EE3" w:rsidRPr="007D7EE3" w:rsidRDefault="007D7EE3" w:rsidP="007D7EE3">
      <w:pPr>
        <w:spacing w:after="0" w:line="360" w:lineRule="auto"/>
        <w:jc w:val="center"/>
        <w:rPr>
          <w:rFonts w:ascii="Arial" w:eastAsia="Arial" w:hAnsi="Arial" w:cs="Arial"/>
          <w:i/>
          <w:sz w:val="20"/>
          <w:szCs w:val="20"/>
          <w:highlight w:val="yellow"/>
        </w:rPr>
      </w:pPr>
    </w:p>
    <w:p w14:paraId="0504DA20" w14:textId="0205E4C1" w:rsidR="00884A74" w:rsidRPr="00BA3C28" w:rsidRDefault="00FA5BC0" w:rsidP="00BA3C2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CHARLOTTE, N.C. – </w:t>
      </w:r>
      <w:r w:rsidR="00BA3C28">
        <w:rPr>
          <w:rFonts w:ascii="Arial" w:eastAsia="Arial" w:hAnsi="Arial" w:cs="Arial"/>
          <w:b/>
          <w:sz w:val="20"/>
          <w:szCs w:val="20"/>
        </w:rPr>
        <w:t xml:space="preserve">March </w:t>
      </w:r>
      <w:r w:rsidR="002031DB">
        <w:rPr>
          <w:rFonts w:ascii="Arial" w:eastAsia="Arial" w:hAnsi="Arial" w:cs="Arial"/>
          <w:b/>
          <w:sz w:val="20"/>
          <w:szCs w:val="20"/>
        </w:rPr>
        <w:t>15</w:t>
      </w:r>
      <w:r>
        <w:rPr>
          <w:rFonts w:ascii="Arial" w:eastAsia="Arial" w:hAnsi="Arial" w:cs="Arial"/>
          <w:b/>
          <w:sz w:val="20"/>
          <w:szCs w:val="20"/>
        </w:rPr>
        <w:t xml:space="preserve">, 2021 </w:t>
      </w:r>
      <w:r>
        <w:rPr>
          <w:rFonts w:ascii="Arial" w:eastAsia="Arial" w:hAnsi="Arial" w:cs="Arial"/>
          <w:sz w:val="20"/>
          <w:szCs w:val="20"/>
        </w:rPr>
        <w:t xml:space="preserve">– </w:t>
      </w:r>
      <w:hyperlink r:id="rId11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Finzly</w:t>
        </w:r>
      </w:hyperlink>
      <w:r>
        <w:rPr>
          <w:rFonts w:ascii="Arial" w:eastAsia="Arial" w:hAnsi="Arial" w:cs="Arial"/>
          <w:sz w:val="20"/>
          <w:szCs w:val="20"/>
        </w:rPr>
        <w:t xml:space="preserve">, a fintech provider of modern banking applications for payments, foreign exchange, trade finance and digital account opening, announced that </w:t>
      </w:r>
      <w:r w:rsidR="00BA3C28">
        <w:rPr>
          <w:rFonts w:ascii="Arial" w:eastAsia="Arial" w:hAnsi="Arial" w:cs="Arial"/>
          <w:sz w:val="20"/>
          <w:szCs w:val="20"/>
        </w:rPr>
        <w:t>Lancaster, Pa.-based</w:t>
      </w:r>
      <w:r w:rsidR="002C6CCC">
        <w:rPr>
          <w:rFonts w:ascii="Arial" w:eastAsia="Arial" w:hAnsi="Arial" w:cs="Arial"/>
          <w:sz w:val="20"/>
          <w:szCs w:val="20"/>
        </w:rPr>
        <w:t xml:space="preserve"> </w:t>
      </w:r>
      <w:hyperlink r:id="rId12" w:history="1">
        <w:r w:rsidR="002C6CCC" w:rsidRPr="002C6CCC">
          <w:rPr>
            <w:rStyle w:val="Hyperlink"/>
            <w:rFonts w:ascii="Arial" w:eastAsia="Arial" w:hAnsi="Arial" w:cs="Arial"/>
            <w:sz w:val="20"/>
            <w:szCs w:val="20"/>
          </w:rPr>
          <w:t>Fulton Bank, N.A.</w:t>
        </w:r>
      </w:hyperlink>
      <w:r w:rsidR="002C6CCC">
        <w:rPr>
          <w:rFonts w:ascii="Arial" w:eastAsia="Arial" w:hAnsi="Arial" w:cs="Arial"/>
          <w:sz w:val="20"/>
          <w:szCs w:val="20"/>
        </w:rPr>
        <w:t xml:space="preserve"> </w:t>
      </w:r>
      <w:r w:rsidR="00BA3C28">
        <w:rPr>
          <w:rFonts w:ascii="Arial" w:eastAsia="Arial" w:hAnsi="Arial" w:cs="Arial"/>
          <w:sz w:val="20"/>
          <w:szCs w:val="20"/>
        </w:rPr>
        <w:t xml:space="preserve">($25 billion asset) has gained significant operational efficiencies in its foreign exchange </w:t>
      </w:r>
      <w:r w:rsidR="00B16D07">
        <w:rPr>
          <w:rFonts w:ascii="Arial" w:eastAsia="Arial" w:hAnsi="Arial" w:cs="Arial"/>
          <w:sz w:val="20"/>
          <w:szCs w:val="20"/>
        </w:rPr>
        <w:t>initiatives</w:t>
      </w:r>
      <w:r w:rsidR="00BA3C28">
        <w:rPr>
          <w:rFonts w:ascii="Arial" w:eastAsia="Arial" w:hAnsi="Arial" w:cs="Arial"/>
          <w:sz w:val="20"/>
          <w:szCs w:val="20"/>
        </w:rPr>
        <w:t xml:space="preserve"> through the use of Finzly’s </w:t>
      </w:r>
      <w:r w:rsidR="00BA3C28" w:rsidRPr="00BA3C28">
        <w:rPr>
          <w:rFonts w:ascii="Arial" w:eastAsia="Arial" w:hAnsi="Arial" w:cs="Arial"/>
          <w:iCs/>
          <w:sz w:val="20"/>
          <w:szCs w:val="20"/>
        </w:rPr>
        <w:t>FX STAR</w:t>
      </w:r>
      <w:r w:rsidR="00BA3C28" w:rsidRPr="00BA3C28">
        <w:rPr>
          <w:rFonts w:ascii="Arial" w:eastAsia="Arial" w:hAnsi="Arial" w:cs="Arial"/>
          <w:iCs/>
          <w:sz w:val="20"/>
          <w:szCs w:val="20"/>
          <w:vertAlign w:val="superscript"/>
        </w:rPr>
        <w:t>TM</w:t>
      </w:r>
      <w:r w:rsidR="00BA3C28" w:rsidRPr="00BA3C28">
        <w:rPr>
          <w:rFonts w:ascii="Arial" w:eastAsia="Arial" w:hAnsi="Arial" w:cs="Arial"/>
          <w:iCs/>
          <w:sz w:val="20"/>
          <w:szCs w:val="20"/>
        </w:rPr>
        <w:t xml:space="preserve"> and EXIM STAR</w:t>
      </w:r>
      <w:r w:rsidR="00BA3C28" w:rsidRPr="00BA3C28">
        <w:rPr>
          <w:rFonts w:ascii="Arial" w:eastAsia="Arial" w:hAnsi="Arial" w:cs="Arial"/>
          <w:iCs/>
          <w:sz w:val="20"/>
          <w:szCs w:val="20"/>
          <w:vertAlign w:val="superscript"/>
        </w:rPr>
        <w:t>TM</w:t>
      </w:r>
      <w:r w:rsidR="00BA3C28">
        <w:rPr>
          <w:rFonts w:ascii="Arial" w:eastAsia="Arial" w:hAnsi="Arial" w:cs="Arial"/>
          <w:iCs/>
          <w:sz w:val="20"/>
          <w:szCs w:val="20"/>
          <w:vertAlign w:val="superscript"/>
        </w:rPr>
        <w:t xml:space="preserve"> </w:t>
      </w:r>
      <w:r w:rsidR="00BA3C28">
        <w:rPr>
          <w:rFonts w:ascii="Arial" w:eastAsia="Arial" w:hAnsi="Arial" w:cs="Arial"/>
          <w:iCs/>
          <w:sz w:val="20"/>
          <w:szCs w:val="20"/>
        </w:rPr>
        <w:t>solutions.</w:t>
      </w:r>
    </w:p>
    <w:p w14:paraId="123E8798" w14:textId="77777777" w:rsidR="00884A74" w:rsidRDefault="00884A74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03E493C9" w14:textId="0AE9836A" w:rsidR="00884A74" w:rsidRDefault="00FA5BC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“</w:t>
      </w:r>
      <w:r w:rsidR="00B16D07">
        <w:rPr>
          <w:rFonts w:ascii="Arial" w:eastAsia="Arial" w:hAnsi="Arial" w:cs="Arial"/>
          <w:sz w:val="20"/>
          <w:szCs w:val="20"/>
        </w:rPr>
        <w:t xml:space="preserve">We recognized Finzly as a proven provider that understands the unique business needs of </w:t>
      </w:r>
      <w:r w:rsidR="00E246B5">
        <w:rPr>
          <w:rFonts w:ascii="Arial" w:eastAsia="Arial" w:hAnsi="Arial" w:cs="Arial"/>
          <w:sz w:val="20"/>
          <w:szCs w:val="20"/>
        </w:rPr>
        <w:t xml:space="preserve">regional </w:t>
      </w:r>
      <w:r w:rsidR="00B16D07">
        <w:rPr>
          <w:rFonts w:ascii="Arial" w:eastAsia="Arial" w:hAnsi="Arial" w:cs="Arial"/>
          <w:sz w:val="20"/>
          <w:szCs w:val="20"/>
        </w:rPr>
        <w:t>financial institutions</w:t>
      </w:r>
      <w:r>
        <w:rPr>
          <w:rFonts w:ascii="Arial" w:eastAsia="Arial" w:hAnsi="Arial" w:cs="Arial"/>
          <w:sz w:val="20"/>
          <w:szCs w:val="20"/>
        </w:rPr>
        <w:t xml:space="preserve">,” said </w:t>
      </w:r>
      <w:r w:rsidR="00B16D07">
        <w:rPr>
          <w:rFonts w:ascii="Arial" w:hAnsi="Arial" w:cs="Arial"/>
          <w:bCs/>
          <w:sz w:val="20"/>
          <w:szCs w:val="20"/>
        </w:rPr>
        <w:t>Amy Sahm, SVP and Manager, International for Fulton Bank</w:t>
      </w:r>
      <w:r>
        <w:rPr>
          <w:rFonts w:ascii="Arial" w:eastAsia="Arial" w:hAnsi="Arial" w:cs="Arial"/>
          <w:sz w:val="20"/>
          <w:szCs w:val="20"/>
        </w:rPr>
        <w:t>. “</w:t>
      </w:r>
      <w:r w:rsidR="00B16D07">
        <w:rPr>
          <w:rFonts w:ascii="Arial" w:eastAsia="Arial" w:hAnsi="Arial" w:cs="Arial"/>
          <w:sz w:val="20"/>
          <w:szCs w:val="20"/>
        </w:rPr>
        <w:t xml:space="preserve">Through the implementation of their user-friendly platform, our bank has been able to achieve better standard functionality across the board – from improved </w:t>
      </w:r>
      <w:r w:rsidR="00E246B5">
        <w:rPr>
          <w:rFonts w:ascii="Arial" w:eastAsia="Arial" w:hAnsi="Arial" w:cs="Arial"/>
          <w:sz w:val="20"/>
          <w:szCs w:val="20"/>
        </w:rPr>
        <w:t>access to</w:t>
      </w:r>
      <w:r w:rsidR="00B16D07">
        <w:rPr>
          <w:rFonts w:ascii="Arial" w:eastAsia="Arial" w:hAnsi="Arial" w:cs="Arial"/>
          <w:sz w:val="20"/>
          <w:szCs w:val="20"/>
        </w:rPr>
        <w:t xml:space="preserve"> reports and confirming trades, to upgrades in investigation and reconciliation capabilities</w:t>
      </w:r>
      <w:r>
        <w:rPr>
          <w:rFonts w:ascii="Arial" w:eastAsia="Arial" w:hAnsi="Arial" w:cs="Arial"/>
          <w:sz w:val="20"/>
          <w:szCs w:val="20"/>
        </w:rPr>
        <w:t>.”</w:t>
      </w:r>
    </w:p>
    <w:p w14:paraId="4F18CD01" w14:textId="1DFFD381" w:rsidR="00B16D07" w:rsidRDefault="00B16D07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7A61BB66" w14:textId="4473074F" w:rsidR="00B16D07" w:rsidRDefault="004B4251">
      <w:pPr>
        <w:spacing w:after="0" w:line="360" w:lineRule="auto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Leveraging open APIs and integrating with existing core technology, </w:t>
      </w:r>
      <w:r w:rsidR="00B16D0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FX STAR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enables</w:t>
      </w:r>
      <w:r w:rsidR="00B16D0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Fulton Bank</w:t>
      </w:r>
      <w:r w:rsidR="00B16D0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customers 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to</w:t>
      </w:r>
      <w:r w:rsidR="00B16D0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execute foreign currency transactions 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via a secure portal at their convenience</w:t>
      </w:r>
      <w:r w:rsidR="00B16D0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, utilize multi-currency accounts to purchase foreign currencies in bulk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B16D0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initiate payments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. Operationally, the bank</w:t>
      </w:r>
      <w:r w:rsidR="00B16D0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can</w:t>
      </w:r>
      <w:r w:rsidR="00B16D0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self-administer 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its</w:t>
      </w:r>
      <w:r w:rsidR="00B16D0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internal users, manage permissions and set limits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, and Fulton Bank gains additional efficiencies through the</w:t>
      </w:r>
      <w:r w:rsidR="00B16D0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reduction of incoming</w:t>
      </w:r>
      <w:r w:rsidR="00B16D0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support </w:t>
      </w:r>
      <w:r w:rsidR="00B16D0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call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="00B16D0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, email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="00B16D0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and</w:t>
      </w:r>
      <w:r w:rsidR="00B16D0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text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="00B16D0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Finzly’s</w:t>
      </w:r>
      <w:r w:rsidR="00B16D07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EXIM STAR is an international trade finance solution that helps the bank more securely and efficiently manage the entire transaction lifecycle of commercial </w:t>
      </w:r>
      <w:r w:rsidR="005368D0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letters of credit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standby </w:t>
      </w:r>
      <w:r w:rsidR="005368D0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letters of credit,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documentary collections.</w:t>
      </w:r>
    </w:p>
    <w:p w14:paraId="4BE04F4A" w14:textId="774E97E1" w:rsidR="004B4251" w:rsidRDefault="004B4251">
      <w:pPr>
        <w:spacing w:after="0" w:line="360" w:lineRule="auto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079B313" w14:textId="272EFD66" w:rsidR="00884A74" w:rsidRDefault="00FA5BC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“</w:t>
      </w:r>
      <w:r w:rsidR="005368D0">
        <w:rPr>
          <w:rFonts w:ascii="Arial" w:eastAsia="Arial" w:hAnsi="Arial" w:cs="Arial"/>
          <w:sz w:val="20"/>
          <w:szCs w:val="20"/>
        </w:rPr>
        <w:t>International trade and foreign exchange can be a complex business for financial institutions of any size to manage successfully,</w:t>
      </w:r>
      <w:r>
        <w:rPr>
          <w:rFonts w:ascii="Arial" w:eastAsia="Arial" w:hAnsi="Arial" w:cs="Arial"/>
          <w:sz w:val="20"/>
          <w:szCs w:val="20"/>
        </w:rPr>
        <w:t>” said Booshan Rengachari, founder and CEO, Finzly. “</w:t>
      </w:r>
      <w:r w:rsidR="005368D0" w:rsidRPr="007D7EE3">
        <w:rPr>
          <w:rFonts w:ascii="Arial" w:eastAsia="Arial" w:hAnsi="Arial" w:cs="Arial"/>
          <w:sz w:val="20"/>
          <w:szCs w:val="20"/>
        </w:rPr>
        <w:t xml:space="preserve">With </w:t>
      </w:r>
      <w:r w:rsidR="009D7F8F" w:rsidRPr="007D7EE3">
        <w:rPr>
          <w:rFonts w:ascii="Arial" w:eastAsia="Arial" w:hAnsi="Arial" w:cs="Arial"/>
          <w:sz w:val="20"/>
          <w:szCs w:val="20"/>
        </w:rPr>
        <w:t xml:space="preserve">one integration to the core, </w:t>
      </w:r>
      <w:r w:rsidR="005368D0" w:rsidRPr="007D7EE3">
        <w:rPr>
          <w:rFonts w:ascii="Arial" w:eastAsia="Arial" w:hAnsi="Arial" w:cs="Arial"/>
          <w:sz w:val="20"/>
          <w:szCs w:val="20"/>
        </w:rPr>
        <w:t>our FX STAR and EXIM STAR solutions help institutions like</w:t>
      </w:r>
      <w:r w:rsidR="005368D0">
        <w:rPr>
          <w:rFonts w:ascii="Arial" w:eastAsia="Arial" w:hAnsi="Arial" w:cs="Arial"/>
          <w:sz w:val="20"/>
          <w:szCs w:val="20"/>
        </w:rPr>
        <w:t xml:space="preserve"> Fulton Bank to more efficiently, securely and cost-effectively meet the needs of their customers.</w:t>
      </w:r>
      <w:r>
        <w:rPr>
          <w:rFonts w:ascii="Arial" w:eastAsia="Arial" w:hAnsi="Arial" w:cs="Arial"/>
          <w:sz w:val="20"/>
          <w:szCs w:val="20"/>
        </w:rPr>
        <w:t>”</w:t>
      </w:r>
    </w:p>
    <w:p w14:paraId="67D7CE45" w14:textId="77777777" w:rsidR="00884A74" w:rsidRDefault="00884A74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451562A0" w14:textId="4F366E4C" w:rsidR="00401408" w:rsidRDefault="00FA5BC0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About Finzly</w:t>
      </w:r>
    </w:p>
    <w:p w14:paraId="7475FF18" w14:textId="763240C8" w:rsidR="00884A74" w:rsidRDefault="00FA5BC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Finzly connects financial institutions with customers through a modern digital banking experience and an efficient, real-time payment services hub. Freeing financial institutions from core system limitations, Finzly’s open, cloud-based bank operating system, BankOS, enables transformation and innovation at the </w:t>
      </w:r>
      <w:r>
        <w:rPr>
          <w:rFonts w:ascii="Arial" w:eastAsia="Arial" w:hAnsi="Arial" w:cs="Arial"/>
          <w:sz w:val="20"/>
          <w:szCs w:val="20"/>
        </w:rPr>
        <w:lastRenderedPageBreak/>
        <w:t xml:space="preserve">speed of fintech. With freedom to adopt solutions from Finzly and third parties of choice, financial institutions can implement apps in three simple steps – subscribe, try and launch. Serving customers across North America, Finzly has been modernizing international banking and treasury management solutions since 2012. For more information, visit </w:t>
      </w:r>
      <w:hyperlink r:id="rId13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www.finzly.com</w:t>
        </w:r>
      </w:hyperlink>
      <w:r>
        <w:rPr>
          <w:rFonts w:ascii="Arial" w:eastAsia="Arial" w:hAnsi="Arial" w:cs="Arial"/>
          <w:sz w:val="20"/>
          <w:szCs w:val="20"/>
        </w:rPr>
        <w:t>.</w:t>
      </w:r>
    </w:p>
    <w:p w14:paraId="00EC3D6F" w14:textId="77777777" w:rsidR="00401408" w:rsidRDefault="0040140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6CF21613" w14:textId="6CC90667" w:rsidR="00E246B5" w:rsidRPr="002C6CCC" w:rsidRDefault="00E246B5" w:rsidP="00E246B5">
      <w:pPr>
        <w:spacing w:after="0"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2C6CCC">
        <w:rPr>
          <w:rFonts w:ascii="Arial" w:eastAsia="Arial" w:hAnsi="Arial" w:cs="Arial"/>
          <w:b/>
          <w:bCs/>
          <w:sz w:val="20"/>
          <w:szCs w:val="20"/>
        </w:rPr>
        <w:t>About Fulton Bank, N.A.</w:t>
      </w:r>
    </w:p>
    <w:p w14:paraId="1E45C87F" w14:textId="77777777" w:rsidR="00E246B5" w:rsidRPr="002C6CCC" w:rsidRDefault="00E246B5" w:rsidP="00E246B5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2C6CCC">
        <w:rPr>
          <w:rFonts w:ascii="Arial" w:eastAsia="Arial" w:hAnsi="Arial" w:cs="Arial"/>
          <w:sz w:val="20"/>
          <w:szCs w:val="20"/>
        </w:rPr>
        <w:t xml:space="preserve">Fulton Bank, N.A. is a subsidiary of Fulton Financial Corporation, a $26 billion financial holding company headquartered in Lancaster, PA. Fulton Bank operates more than 223 financial centers throughout Pennsylvania, New Jersey, Maryland, Delaware and Virginia. Learn more at </w:t>
      </w:r>
      <w:hyperlink r:id="rId14" w:history="1">
        <w:r w:rsidRPr="002C6CCC">
          <w:rPr>
            <w:rStyle w:val="Hyperlink"/>
            <w:rFonts w:ascii="Arial" w:eastAsia="Arial" w:hAnsi="Arial" w:cs="Arial"/>
            <w:sz w:val="20"/>
            <w:szCs w:val="20"/>
          </w:rPr>
          <w:t>FultonBank.com</w:t>
        </w:r>
      </w:hyperlink>
      <w:r w:rsidRPr="002C6CCC">
        <w:rPr>
          <w:rFonts w:ascii="Arial" w:eastAsia="Arial" w:hAnsi="Arial" w:cs="Arial"/>
          <w:sz w:val="20"/>
          <w:szCs w:val="20"/>
        </w:rPr>
        <w:t>.</w:t>
      </w:r>
    </w:p>
    <w:p w14:paraId="55A9C3CA" w14:textId="77777777" w:rsidR="002C6CCC" w:rsidRDefault="002C6CCC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6717CE15" w14:textId="76CA9B03" w:rsidR="00884A74" w:rsidRDefault="00FA5BC0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###</w:t>
      </w:r>
    </w:p>
    <w:p w14:paraId="1749E9C7" w14:textId="77777777" w:rsidR="00884A74" w:rsidRDefault="00884A74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sectPr w:rsidR="00884A7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Ɔ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E07B3"/>
    <w:multiLevelType w:val="hybridMultilevel"/>
    <w:tmpl w:val="B76E6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A74"/>
    <w:rsid w:val="00021618"/>
    <w:rsid w:val="002031DB"/>
    <w:rsid w:val="002C6CCC"/>
    <w:rsid w:val="00401408"/>
    <w:rsid w:val="004A1147"/>
    <w:rsid w:val="004B4251"/>
    <w:rsid w:val="004D67D5"/>
    <w:rsid w:val="005368D0"/>
    <w:rsid w:val="00594CEF"/>
    <w:rsid w:val="006C0D46"/>
    <w:rsid w:val="006E3503"/>
    <w:rsid w:val="007B1249"/>
    <w:rsid w:val="007D7EE3"/>
    <w:rsid w:val="00824BBC"/>
    <w:rsid w:val="00884A74"/>
    <w:rsid w:val="008F711E"/>
    <w:rsid w:val="009D7F8F"/>
    <w:rsid w:val="00A11121"/>
    <w:rsid w:val="00A310A5"/>
    <w:rsid w:val="00B16D07"/>
    <w:rsid w:val="00B67781"/>
    <w:rsid w:val="00BA3C28"/>
    <w:rsid w:val="00CE1301"/>
    <w:rsid w:val="00D0319E"/>
    <w:rsid w:val="00D1220E"/>
    <w:rsid w:val="00DD12AF"/>
    <w:rsid w:val="00E246B5"/>
    <w:rsid w:val="00E77EDA"/>
    <w:rsid w:val="00E83723"/>
    <w:rsid w:val="00FA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2DABE"/>
  <w15:docId w15:val="{C2F738E2-453B-BB47-92B6-301D19A0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401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1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114C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2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B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C2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7011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11121"/>
    <w:rPr>
      <w:b/>
      <w:bCs/>
    </w:rPr>
  </w:style>
  <w:style w:type="character" w:customStyle="1" w:styleId="apple-converted-space">
    <w:name w:val="apple-converted-space"/>
    <w:basedOn w:val="DefaultParagraphFont"/>
    <w:rsid w:val="00A11121"/>
  </w:style>
  <w:style w:type="paragraph" w:styleId="ListParagraph">
    <w:name w:val="List Paragraph"/>
    <w:basedOn w:val="Normal"/>
    <w:uiPriority w:val="34"/>
    <w:qFormat/>
    <w:rsid w:val="00B16D07"/>
    <w:pPr>
      <w:spacing w:after="0" w:line="240" w:lineRule="auto"/>
      <w:ind w:left="720"/>
    </w:pPr>
    <w:rPr>
      <w:rFonts w:eastAsiaTheme="minorHAnsi" w:cs="Times New Roman"/>
    </w:rPr>
  </w:style>
  <w:style w:type="character" w:customStyle="1" w:styleId="normaltextrun">
    <w:name w:val="normaltextrun"/>
    <w:basedOn w:val="DefaultParagraphFont"/>
    <w:rsid w:val="00B16D07"/>
  </w:style>
  <w:style w:type="character" w:customStyle="1" w:styleId="eop">
    <w:name w:val="eop"/>
    <w:basedOn w:val="DefaultParagraphFont"/>
    <w:rsid w:val="00B16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inzly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ultonbank.com/Commercial/Treasury-Management/Internationa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nzly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augusta@williammills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www.fultonban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87FBCB0FE9743934C6250836C5F2E" ma:contentTypeVersion="12" ma:contentTypeDescription="Create a new document." ma:contentTypeScope="" ma:versionID="99cb082388fbffedb223a7898dc9395b">
  <xsd:schema xmlns:xsd="http://www.w3.org/2001/XMLSchema" xmlns:xs="http://www.w3.org/2001/XMLSchema" xmlns:p="http://schemas.microsoft.com/office/2006/metadata/properties" xmlns:ns2="18afe261-dda2-4c8d-b35c-8a7b9c8eda55" xmlns:ns3="63a51644-1349-45f7-b125-14e3146891c8" targetNamespace="http://schemas.microsoft.com/office/2006/metadata/properties" ma:root="true" ma:fieldsID="282ad640516b7a97efcf53345c74fc04" ns2:_="" ns3:_="">
    <xsd:import namespace="18afe261-dda2-4c8d-b35c-8a7b9c8eda55"/>
    <xsd:import namespace="63a51644-1349-45f7-b125-14e314689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fe261-dda2-4c8d-b35c-8a7b9c8ed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51644-1349-45f7-b125-14e314689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HIo9d3kC1rI3dce+lamewEIyWQ==">AMUW2mXH4Bq11RbcKt0SviSiuYBbewTVbAsXienKM7YEpIVop74YD+hURf5Kg+5CUbpOSHarePIhWpRRZZ7w9S6rNS53Xpd9ItZ//Q8lOd4aVEPSe9boi+5IFUCIcMchZNdtVP1dEp0qZyKrDoaKIs9uvTH6ap/tI2Cb7yVg0Fb+3jxf3k/8gKR3O4vLqzLtDOIj0wLMT5nWCyDi1N0jAc+hazlqJLQGhgUsAnqzxh95BgvZHOkKbSwmHsMF14gPPsSxKp092qUqnc2gJbWmaUKmhAK1zB6pak1sxpmRs7cT8F1y9qVoKJ6cZJXiqhCJnvrBE5iXoQSCd9z8CbBtsZ/7gezALiST+B+ElPgcU9KpgiFs1Py8GviLaxFTXud8ctApI5aMHT/CqMVfa2CTQp5PpzmOnb5a3kpuEDJ9X2NBZna7HYCH4oijCPeToTXrmCO6fQT2cSKmKGKGpLn2NQ1Pmj6ZYTJiidvO+KpRa1p7CBxsrSdY810HRVJfpkwQVkT9BBQAOiQC+sCWQ1ovHmpO07bmWkevbwfS8ffWCORQ4d+U2Uf0XA0OzyvAOaaJPDg/oaB2CFzuf5K0fT//QZ/yqQe/G2Md7ueOMeYK8VqI4y1VoaKAaSdyowa2RPz9nf6DdKGUzUluj23q+DeunCEkDd3gPE7xNAaJvOG3t0iaYlOdOYhFlPfFdm/2vh3zR1BjnxyZ4cd9ThlEZS6e/ahHpQpvfHL6eeMaTofDM85U/lOvZl1x8oNZo/1HCPMDS8axpgqG//6YXwGBS4fWTov3tIaR7BHcluYiyJezrocgit/tocLI7R9zSm1hXGV9YVWtJbrjkA4m9nXv1pEsRUFhWF8mX068tADKUpMqPGDRjhDPAKztoO/EAjtrUnElwbVB1hdOgOlJrPPO7+WPWM8szW5GMD/9M2oBJsX6w7P8xr992neMYfQ7IwWNowqh6mxw8SNeX/ayXudu/PsDa+k+M7osJSHyYVwQbaB6YxqhxoAX9k/A+A8MTfBf9q9666TaHJpc4LBPV5W8KZAgvtuC//HP5lv+vhQDM0s/575/wBjJkMrXaTTmKBsb0+W0VK7PZU8m1GBCpZNsNhS7tpoAnwSv/1igYIEuZrSsPj/v8NfvQZeJFoNAttDvRuqxrDnbAJXL0GLm660/l5G7JOBNFsBo+KnZssW1G4NzNd66AFnn8YJ7xkso8v2e5duavZBlwPknjVnauBlR6x/3V23Q5fF8KxhGog==</go:docsCustomData>
</go:gDocsCustomXmlDataStorage>
</file>

<file path=customXml/itemProps1.xml><?xml version="1.0" encoding="utf-8"?>
<ds:datastoreItem xmlns:ds="http://schemas.openxmlformats.org/officeDocument/2006/customXml" ds:itemID="{D972D017-5F13-4E76-A684-828A3FBD98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C26BB1-199F-4CFF-B0EF-EE86D73F2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fe261-dda2-4c8d-b35c-8a7b9c8eda55"/>
    <ds:schemaRef ds:uri="63a51644-1349-45f7-b125-14e314689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0D21B2-7B6D-4B84-8549-EA836036F6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Ariana Luke</dc:creator>
  <cp:lastModifiedBy>Augusta Bauknight</cp:lastModifiedBy>
  <cp:revision>15</cp:revision>
  <dcterms:created xsi:type="dcterms:W3CDTF">2021-03-02T19:41:00Z</dcterms:created>
  <dcterms:modified xsi:type="dcterms:W3CDTF">2021-03-12T21:11:00Z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0x01010004D87FBCB0FE9743934C6250836C5F2E</vt:lpwstr>
  </property>
  <property fmtid="{D5CDD505-2E9C-101B-9397-08002B2CF9AE}" pid="3" name="_AdHocReviewCycleID">
    <vt:i4>-600614672</vt:i4>
  </property>
  <property fmtid="{D5CDD505-2E9C-101B-9397-08002B2CF9AE}" pid="4" name="_NewReviewCycle">
    <vt:lpwstr/>
  </property>
  <property fmtid="{D5CDD505-2E9C-101B-9397-08002B2CF9AE}" pid="5" name="_EmailSubject">
    <vt:lpwstr>Press Release / 6.3 Upgrade Case Study</vt:lpwstr>
  </property>
  <property fmtid="{D5CDD505-2E9C-101B-9397-08002B2CF9AE}" pid="6" name="_AuthorEmail">
    <vt:lpwstr>ASahm@fultonbank.com</vt:lpwstr>
  </property>
  <property fmtid="{D5CDD505-2E9C-101B-9397-08002B2CF9AE}" pid="7" name="_AuthorEmailDisplayName">
    <vt:lpwstr>Sahm, Amy</vt:lpwstr>
  </property>
  <property fmtid="{D5CDD505-2E9C-101B-9397-08002B2CF9AE}" pid="8" name="_PreviousAdHocReviewCycleID">
    <vt:i4>-914424481</vt:i4>
  </property>
  <property fmtid="{D5CDD505-2E9C-101B-9397-08002B2CF9AE}" pid="9" name="_ReviewingToolsShownOnce">
    <vt:lpwstr/>
  </property>
</Properties>
</file>