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14C3E4" w14:textId="77777777" w:rsidR="00884A74" w:rsidRDefault="00FA5BC0">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noProof/>
          <w:color w:val="000000"/>
          <w:sz w:val="24"/>
          <w:szCs w:val="24"/>
        </w:rPr>
        <w:drawing>
          <wp:anchor distT="0" distB="0" distL="114300" distR="114300" simplePos="0" relativeHeight="251658240" behindDoc="0" locked="0" layoutInCell="1" hidden="0" allowOverlap="1" wp14:anchorId="099A2B39" wp14:editId="7A78D876">
            <wp:simplePos x="0" y="0"/>
            <wp:positionH relativeFrom="margin">
              <wp:posOffset>3752850</wp:posOffset>
            </wp:positionH>
            <wp:positionV relativeFrom="margin">
              <wp:posOffset>-304798</wp:posOffset>
            </wp:positionV>
            <wp:extent cx="2199005" cy="716280"/>
            <wp:effectExtent l="0" t="0" r="0" b="0"/>
            <wp:wrapSquare wrapText="bothSides" distT="0" distB="0" distL="114300" distR="114300"/>
            <wp:docPr id="2" name="image1.png" descr="Finzly - Elegance in Banking"/>
            <wp:cNvGraphicFramePr/>
            <a:graphic xmlns:a="http://schemas.openxmlformats.org/drawingml/2006/main">
              <a:graphicData uri="http://schemas.openxmlformats.org/drawingml/2006/picture">
                <pic:pic xmlns:pic="http://schemas.openxmlformats.org/drawingml/2006/picture">
                  <pic:nvPicPr>
                    <pic:cNvPr id="0" name="image1.png" descr="Finzly - Elegance in Banking"/>
                    <pic:cNvPicPr preferRelativeResize="0"/>
                  </pic:nvPicPr>
                  <pic:blipFill>
                    <a:blip r:embed="rId9"/>
                    <a:srcRect/>
                    <a:stretch>
                      <a:fillRect/>
                    </a:stretch>
                  </pic:blipFill>
                  <pic:spPr>
                    <a:xfrm>
                      <a:off x="0" y="0"/>
                      <a:ext cx="2199005" cy="716280"/>
                    </a:xfrm>
                    <a:prstGeom prst="rect">
                      <a:avLst/>
                    </a:prstGeom>
                    <a:ln/>
                  </pic:spPr>
                </pic:pic>
              </a:graphicData>
            </a:graphic>
          </wp:anchor>
        </w:drawing>
      </w:r>
      <w:r w:rsidRPr="5FEFCD96">
        <w:rPr>
          <w:rFonts w:ascii="Arial" w:eastAsia="Arial" w:hAnsi="Arial" w:cs="Arial"/>
          <w:b/>
          <w:bCs/>
          <w:color w:val="000000"/>
          <w:sz w:val="20"/>
          <w:szCs w:val="20"/>
        </w:rPr>
        <w:t>MEDIA CONTACT:</w:t>
      </w:r>
      <w:r>
        <w:rPr>
          <w:rFonts w:ascii="Arial" w:eastAsia="Arial" w:hAnsi="Arial" w:cs="Arial"/>
          <w:color w:val="000000"/>
          <w:sz w:val="18"/>
          <w:szCs w:val="18"/>
        </w:rPr>
        <w:t>  </w:t>
      </w:r>
    </w:p>
    <w:p w14:paraId="34ABBC7F" w14:textId="77777777" w:rsidR="00884A74" w:rsidRDefault="00FA5BC0">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color w:val="000000"/>
          <w:sz w:val="20"/>
          <w:szCs w:val="20"/>
        </w:rPr>
        <w:t>Augusta Bauknight </w:t>
      </w:r>
    </w:p>
    <w:p w14:paraId="3B6B3698" w14:textId="77777777" w:rsidR="00884A74" w:rsidRDefault="00A45ED9">
      <w:pPr>
        <w:pBdr>
          <w:top w:val="nil"/>
          <w:left w:val="nil"/>
          <w:bottom w:val="nil"/>
          <w:right w:val="nil"/>
          <w:between w:val="nil"/>
        </w:pBdr>
        <w:spacing w:after="0" w:line="240" w:lineRule="auto"/>
        <w:rPr>
          <w:rFonts w:ascii="Arial" w:eastAsia="Arial" w:hAnsi="Arial" w:cs="Arial"/>
          <w:color w:val="000000"/>
          <w:sz w:val="18"/>
          <w:szCs w:val="18"/>
        </w:rPr>
      </w:pPr>
      <w:hyperlink r:id="rId10">
        <w:r w:rsidR="00FA5BC0">
          <w:rPr>
            <w:rFonts w:ascii="Arial" w:eastAsia="Arial" w:hAnsi="Arial" w:cs="Arial"/>
            <w:color w:val="0000FF"/>
            <w:sz w:val="20"/>
            <w:szCs w:val="20"/>
            <w:u w:val="single"/>
          </w:rPr>
          <w:t>augusta@williammills.com</w:t>
        </w:r>
      </w:hyperlink>
      <w:r w:rsidR="00FA5BC0">
        <w:rPr>
          <w:rFonts w:ascii="Arial" w:eastAsia="Arial" w:hAnsi="Arial" w:cs="Arial"/>
          <w:color w:val="000000"/>
          <w:sz w:val="20"/>
          <w:szCs w:val="20"/>
        </w:rPr>
        <w:t> </w:t>
      </w:r>
    </w:p>
    <w:p w14:paraId="5714C997" w14:textId="723121AF" w:rsidR="00884A74" w:rsidRDefault="00FA5BC0" w:rsidP="00A64B2E">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color w:val="000000"/>
          <w:sz w:val="20"/>
          <w:szCs w:val="20"/>
        </w:rPr>
        <w:t>678-781-7214 </w:t>
      </w:r>
    </w:p>
    <w:p w14:paraId="538678CD" w14:textId="77777777" w:rsidR="00884A74" w:rsidRDefault="00884A74">
      <w:pPr>
        <w:spacing w:after="0"/>
        <w:rPr>
          <w:rFonts w:ascii="Arial" w:eastAsia="Arial" w:hAnsi="Arial" w:cs="Arial"/>
          <w:b/>
        </w:rPr>
      </w:pPr>
    </w:p>
    <w:p w14:paraId="55352BB1" w14:textId="3582958E" w:rsidR="00884A74" w:rsidRDefault="00D571C4" w:rsidP="00D571C4">
      <w:pPr>
        <w:spacing w:after="0"/>
        <w:jc w:val="center"/>
        <w:rPr>
          <w:rFonts w:ascii="Arial" w:eastAsia="Arial" w:hAnsi="Arial" w:cs="Arial"/>
          <w:b/>
          <w:bCs/>
          <w:sz w:val="24"/>
          <w:szCs w:val="24"/>
        </w:rPr>
      </w:pPr>
      <w:r w:rsidRPr="00D571C4">
        <w:rPr>
          <w:rFonts w:ascii="Arial" w:eastAsia="Arial" w:hAnsi="Arial" w:cs="Arial"/>
          <w:b/>
          <w:bCs/>
          <w:sz w:val="24"/>
          <w:szCs w:val="24"/>
        </w:rPr>
        <w:t xml:space="preserve">ICBA </w:t>
      </w:r>
      <w:proofErr w:type="spellStart"/>
      <w:r w:rsidRPr="00D571C4">
        <w:rPr>
          <w:rFonts w:ascii="Arial" w:eastAsia="Arial" w:hAnsi="Arial" w:cs="Arial"/>
          <w:b/>
          <w:bCs/>
          <w:sz w:val="24"/>
          <w:szCs w:val="24"/>
        </w:rPr>
        <w:t>Bancard</w:t>
      </w:r>
      <w:proofErr w:type="spellEnd"/>
      <w:r w:rsidRPr="00D571C4">
        <w:rPr>
          <w:rFonts w:ascii="Arial" w:eastAsia="Arial" w:hAnsi="Arial" w:cs="Arial"/>
          <w:b/>
          <w:bCs/>
          <w:sz w:val="24"/>
          <w:szCs w:val="24"/>
        </w:rPr>
        <w:t xml:space="preserve"> and Finzly Partner to Offer Instant Payments  </w:t>
      </w:r>
    </w:p>
    <w:p w14:paraId="6DB02C65" w14:textId="77777777" w:rsidR="00D571C4" w:rsidRPr="007D7EE3" w:rsidRDefault="00D571C4" w:rsidP="00D571C4">
      <w:pPr>
        <w:spacing w:after="0"/>
        <w:jc w:val="center"/>
        <w:rPr>
          <w:rFonts w:ascii="Arial" w:eastAsia="Arial" w:hAnsi="Arial" w:cs="Arial"/>
          <w:i/>
          <w:color w:val="FF0000"/>
          <w:sz w:val="18"/>
          <w:szCs w:val="18"/>
        </w:rPr>
      </w:pPr>
    </w:p>
    <w:p w14:paraId="53229EC1" w14:textId="27E6F262" w:rsidR="00A64B2E" w:rsidRDefault="00784457" w:rsidP="006B20EA">
      <w:pPr>
        <w:spacing w:after="0" w:line="360" w:lineRule="auto"/>
        <w:jc w:val="center"/>
        <w:rPr>
          <w:rFonts w:ascii="Arial" w:hAnsi="Arial" w:cs="Arial"/>
          <w:i/>
          <w:color w:val="222222"/>
          <w:shd w:val="clear" w:color="auto" w:fill="FFFFFF"/>
        </w:rPr>
      </w:pPr>
      <w:r w:rsidRPr="006B20EA">
        <w:rPr>
          <w:rFonts w:ascii="Arial" w:hAnsi="Arial" w:cs="Arial"/>
          <w:i/>
          <w:color w:val="222222"/>
          <w:shd w:val="clear" w:color="auto" w:fill="FFFFFF"/>
        </w:rPr>
        <w:t>Finzly's core-agnostic payment solution to enable community banks to offer instant payments to their customers</w:t>
      </w:r>
    </w:p>
    <w:p w14:paraId="61ED717E" w14:textId="77777777" w:rsidR="00A45ED9" w:rsidRPr="00784457" w:rsidRDefault="00A45ED9" w:rsidP="006B20EA">
      <w:pPr>
        <w:spacing w:after="0" w:line="360" w:lineRule="auto"/>
        <w:jc w:val="center"/>
        <w:rPr>
          <w:rFonts w:ascii="Arial" w:eastAsia="Arial" w:hAnsi="Arial" w:cs="Arial"/>
          <w:i/>
        </w:rPr>
      </w:pPr>
    </w:p>
    <w:p w14:paraId="0835D7E3" w14:textId="7F548B57" w:rsidR="00D571C4" w:rsidRPr="00D571C4" w:rsidRDefault="00FA5BC0" w:rsidP="00D571C4">
      <w:pPr>
        <w:spacing w:after="0" w:line="360" w:lineRule="auto"/>
        <w:rPr>
          <w:rFonts w:ascii="Arial" w:eastAsia="Arial" w:hAnsi="Arial" w:cs="Arial"/>
        </w:rPr>
      </w:pPr>
      <w:r w:rsidRPr="00146200">
        <w:rPr>
          <w:rFonts w:ascii="Arial" w:eastAsia="Arial" w:hAnsi="Arial" w:cs="Arial"/>
          <w:b/>
        </w:rPr>
        <w:t>CHARLOTTE, N.C. –</w:t>
      </w:r>
      <w:r w:rsidR="000C5E63">
        <w:rPr>
          <w:rFonts w:ascii="Arial" w:eastAsia="Arial" w:hAnsi="Arial" w:cs="Arial"/>
          <w:b/>
        </w:rPr>
        <w:t xml:space="preserve"> </w:t>
      </w:r>
      <w:r w:rsidR="007D160A">
        <w:rPr>
          <w:rFonts w:ascii="Arial" w:eastAsia="Arial" w:hAnsi="Arial" w:cs="Arial"/>
          <w:b/>
        </w:rPr>
        <w:t>July</w:t>
      </w:r>
      <w:r w:rsidR="00327CB6" w:rsidRPr="00146200">
        <w:rPr>
          <w:rFonts w:ascii="Arial" w:eastAsia="Arial" w:hAnsi="Arial" w:cs="Arial"/>
          <w:b/>
        </w:rPr>
        <w:t xml:space="preserve"> </w:t>
      </w:r>
      <w:r w:rsidR="00D571C4">
        <w:rPr>
          <w:rFonts w:ascii="Arial" w:eastAsia="Arial" w:hAnsi="Arial" w:cs="Arial"/>
          <w:b/>
        </w:rPr>
        <w:t>12</w:t>
      </w:r>
      <w:r w:rsidRPr="00146200">
        <w:rPr>
          <w:rFonts w:ascii="Arial" w:eastAsia="Arial" w:hAnsi="Arial" w:cs="Arial"/>
          <w:b/>
        </w:rPr>
        <w:t xml:space="preserve">, 2021 </w:t>
      </w:r>
      <w:r w:rsidRPr="00146200">
        <w:rPr>
          <w:rFonts w:ascii="Arial" w:eastAsia="Arial" w:hAnsi="Arial" w:cs="Arial"/>
        </w:rPr>
        <w:t xml:space="preserve">– </w:t>
      </w:r>
      <w:hyperlink r:id="rId11">
        <w:r w:rsidRPr="00146200">
          <w:rPr>
            <w:rFonts w:ascii="Arial" w:eastAsia="Arial" w:hAnsi="Arial" w:cs="Arial"/>
            <w:color w:val="0000FF"/>
            <w:u w:val="single"/>
          </w:rPr>
          <w:t>Finzly</w:t>
        </w:r>
      </w:hyperlink>
      <w:r w:rsidRPr="00146200">
        <w:rPr>
          <w:rFonts w:ascii="Arial" w:eastAsia="Arial" w:hAnsi="Arial" w:cs="Arial"/>
        </w:rPr>
        <w:t xml:space="preserve">, a fintech provider of modern banking applications for payments, foreign exchange, trade finance and digital account opening, </w:t>
      </w:r>
      <w:r w:rsidR="00D571C4">
        <w:rPr>
          <w:rFonts w:ascii="Arial" w:eastAsia="Arial" w:hAnsi="Arial" w:cs="Arial"/>
        </w:rPr>
        <w:t xml:space="preserve">today </w:t>
      </w:r>
      <w:r w:rsidR="007D160A">
        <w:rPr>
          <w:rFonts w:ascii="Arial" w:eastAsia="Arial" w:hAnsi="Arial" w:cs="Arial"/>
        </w:rPr>
        <w:t>announce</w:t>
      </w:r>
      <w:r w:rsidR="00D06E5A">
        <w:rPr>
          <w:rFonts w:ascii="Arial" w:eastAsia="Arial" w:hAnsi="Arial" w:cs="Arial"/>
        </w:rPr>
        <w:t>d</w:t>
      </w:r>
      <w:r w:rsidR="007D160A">
        <w:rPr>
          <w:rFonts w:ascii="Arial" w:eastAsia="Arial" w:hAnsi="Arial" w:cs="Arial"/>
        </w:rPr>
        <w:t xml:space="preserve"> </w:t>
      </w:r>
      <w:r w:rsidR="00D571C4" w:rsidRPr="00D571C4">
        <w:rPr>
          <w:rFonts w:ascii="Arial" w:eastAsia="Arial" w:hAnsi="Arial" w:cs="Arial"/>
        </w:rPr>
        <w:t>a new partnership wit</w:t>
      </w:r>
      <w:r w:rsidR="00D571C4">
        <w:rPr>
          <w:rFonts w:ascii="Arial" w:eastAsia="Arial" w:hAnsi="Arial" w:cs="Arial"/>
        </w:rPr>
        <w:t xml:space="preserve">h </w:t>
      </w:r>
      <w:r w:rsidR="00D571C4" w:rsidRPr="00D571C4">
        <w:rPr>
          <w:rFonts w:ascii="Arial" w:eastAsia="Arial" w:hAnsi="Arial" w:cs="Arial"/>
        </w:rPr>
        <w:t xml:space="preserve">ICBA </w:t>
      </w:r>
      <w:proofErr w:type="spellStart"/>
      <w:r w:rsidR="00D571C4" w:rsidRPr="00D571C4">
        <w:rPr>
          <w:rFonts w:ascii="Arial" w:eastAsia="Arial" w:hAnsi="Arial" w:cs="Arial"/>
        </w:rPr>
        <w:t>Bancard</w:t>
      </w:r>
      <w:proofErr w:type="spellEnd"/>
      <w:r w:rsidR="00D571C4" w:rsidRPr="00D571C4">
        <w:rPr>
          <w:rFonts w:ascii="Arial" w:eastAsia="Arial" w:hAnsi="Arial" w:cs="Arial"/>
        </w:rPr>
        <w:t>, the payments services subsidiary of The Independent Community Bankers of America (ICBA), to facilitate instant payments via Finzly’s Payment Galaxy</w:t>
      </w:r>
      <w:r w:rsidR="00FA4AFE">
        <w:rPr>
          <w:rFonts w:ascii="Arial" w:eastAsia="Arial" w:hAnsi="Arial" w:cs="Arial"/>
        </w:rPr>
        <w:t>, a payment</w:t>
      </w:r>
      <w:r w:rsidR="00D571C4" w:rsidRPr="00D571C4">
        <w:rPr>
          <w:rFonts w:ascii="Arial" w:eastAsia="Arial" w:hAnsi="Arial" w:cs="Arial"/>
        </w:rPr>
        <w:t xml:space="preserve"> hub for improved convenience, cash flow and efficiency for community banks and their customers. Finzly was a fintech participant in ICBA’s 2020 </w:t>
      </w:r>
      <w:proofErr w:type="spellStart"/>
      <w:r w:rsidR="00D571C4" w:rsidRPr="00D571C4">
        <w:rPr>
          <w:rFonts w:ascii="Arial" w:eastAsia="Arial" w:hAnsi="Arial" w:cs="Arial"/>
        </w:rPr>
        <w:t>ThinkTECH</w:t>
      </w:r>
      <w:proofErr w:type="spellEnd"/>
      <w:r w:rsidR="00D571C4" w:rsidRPr="00D571C4">
        <w:rPr>
          <w:rFonts w:ascii="Arial" w:eastAsia="Arial" w:hAnsi="Arial" w:cs="Arial"/>
        </w:rPr>
        <w:t xml:space="preserve"> Accelerator program. </w:t>
      </w:r>
    </w:p>
    <w:p w14:paraId="14A7CA40" w14:textId="77777777" w:rsidR="00D571C4" w:rsidRPr="00D571C4" w:rsidRDefault="00D571C4" w:rsidP="00D571C4">
      <w:pPr>
        <w:spacing w:after="0" w:line="360" w:lineRule="auto"/>
        <w:rPr>
          <w:rFonts w:ascii="Arial" w:eastAsia="Arial" w:hAnsi="Arial" w:cs="Arial"/>
        </w:rPr>
      </w:pPr>
    </w:p>
    <w:p w14:paraId="0406C83A" w14:textId="4CF14F54" w:rsidR="00D571C4" w:rsidRDefault="00D571C4" w:rsidP="00D571C4">
      <w:pPr>
        <w:spacing w:after="0" w:line="360" w:lineRule="auto"/>
        <w:rPr>
          <w:rFonts w:ascii="Arial" w:eastAsia="Arial" w:hAnsi="Arial" w:cs="Arial"/>
        </w:rPr>
      </w:pPr>
      <w:r w:rsidRPr="00D571C4">
        <w:rPr>
          <w:rFonts w:ascii="Arial" w:eastAsia="Arial" w:hAnsi="Arial" w:cs="Arial"/>
        </w:rPr>
        <w:t xml:space="preserve">“The rise in digital and contactless payments, fueled by the pandemic, has heighted demand for faster payments,” ICBA </w:t>
      </w:r>
      <w:proofErr w:type="spellStart"/>
      <w:r w:rsidRPr="00D571C4">
        <w:rPr>
          <w:rFonts w:ascii="Arial" w:eastAsia="Arial" w:hAnsi="Arial" w:cs="Arial"/>
        </w:rPr>
        <w:t>Bancard</w:t>
      </w:r>
      <w:proofErr w:type="spellEnd"/>
      <w:r w:rsidRPr="00D571C4">
        <w:rPr>
          <w:rFonts w:ascii="Arial" w:eastAsia="Arial" w:hAnsi="Arial" w:cs="Arial"/>
        </w:rPr>
        <w:t xml:space="preserve"> President and CEO Tina Giorgio said. “Through this collaboration, ICBA </w:t>
      </w:r>
      <w:proofErr w:type="spellStart"/>
      <w:r w:rsidRPr="00D571C4">
        <w:rPr>
          <w:rFonts w:ascii="Arial" w:eastAsia="Arial" w:hAnsi="Arial" w:cs="Arial"/>
        </w:rPr>
        <w:t>Bancard</w:t>
      </w:r>
      <w:proofErr w:type="spellEnd"/>
      <w:r w:rsidRPr="00D571C4">
        <w:rPr>
          <w:rFonts w:ascii="Arial" w:eastAsia="Arial" w:hAnsi="Arial" w:cs="Arial"/>
        </w:rPr>
        <w:t xml:space="preserve"> is helping community banks deliver payments when and where customers want while streamlining their payment processes for additional value and distinction in the market.”</w:t>
      </w:r>
      <w:r w:rsidRPr="00D571C4" w:rsidDel="007A6A82">
        <w:rPr>
          <w:rFonts w:ascii="Arial" w:eastAsia="Arial" w:hAnsi="Arial" w:cs="Arial"/>
        </w:rPr>
        <w:t xml:space="preserve"> </w:t>
      </w:r>
    </w:p>
    <w:p w14:paraId="607D265A" w14:textId="77777777" w:rsidR="00D571C4" w:rsidRPr="00D571C4" w:rsidRDefault="00D571C4" w:rsidP="00D571C4">
      <w:pPr>
        <w:spacing w:after="0" w:line="360" w:lineRule="auto"/>
        <w:rPr>
          <w:rFonts w:ascii="Arial" w:eastAsia="Arial" w:hAnsi="Arial" w:cs="Arial"/>
        </w:rPr>
      </w:pPr>
    </w:p>
    <w:p w14:paraId="133C1DC8" w14:textId="2CA40C1B" w:rsidR="00D571C4" w:rsidRPr="00D571C4" w:rsidRDefault="00A45ED9" w:rsidP="00D571C4">
      <w:pPr>
        <w:spacing w:after="0" w:line="360" w:lineRule="auto"/>
        <w:rPr>
          <w:rFonts w:ascii="Arial" w:eastAsia="Arial" w:hAnsi="Arial" w:cs="Arial"/>
        </w:rPr>
      </w:pPr>
      <w:hyperlink r:id="rId12">
        <w:r w:rsidR="00D571C4" w:rsidRPr="00D571C4">
          <w:rPr>
            <w:rStyle w:val="Hyperlink"/>
            <w:rFonts w:ascii="Arial" w:eastAsia="Arial" w:hAnsi="Arial" w:cs="Arial"/>
          </w:rPr>
          <w:t>Payment Galaxy</w:t>
        </w:r>
      </w:hyperlink>
      <w:r w:rsidR="00D571C4" w:rsidRPr="00D571C4">
        <w:rPr>
          <w:rFonts w:ascii="Arial" w:eastAsia="Arial" w:hAnsi="Arial" w:cs="Arial"/>
        </w:rPr>
        <w:t xml:space="preserve"> enables the provision of existing payment services like ACH</w:t>
      </w:r>
      <w:r w:rsidR="00857C73">
        <w:rPr>
          <w:rFonts w:ascii="Arial" w:eastAsia="Arial" w:hAnsi="Arial" w:cs="Arial"/>
        </w:rPr>
        <w:t xml:space="preserve"> and wires</w:t>
      </w:r>
      <w:r w:rsidR="00D571C4" w:rsidRPr="00D571C4">
        <w:rPr>
          <w:rFonts w:ascii="Arial" w:eastAsia="Arial" w:hAnsi="Arial" w:cs="Arial"/>
        </w:rPr>
        <w:t xml:space="preserve">, alongside the new instant payment rails, including The Clearinghouse’s RTP® and when available, </w:t>
      </w:r>
      <w:proofErr w:type="spellStart"/>
      <w:r w:rsidR="00D571C4" w:rsidRPr="00D571C4">
        <w:rPr>
          <w:rFonts w:ascii="Arial" w:eastAsia="Arial" w:hAnsi="Arial" w:cs="Arial"/>
        </w:rPr>
        <w:t>FedNow</w:t>
      </w:r>
      <w:r w:rsidR="00D571C4" w:rsidRPr="00D571C4">
        <w:rPr>
          <w:rFonts w:ascii="Arial" w:eastAsia="Arial" w:hAnsi="Arial" w:cs="Arial"/>
          <w:vertAlign w:val="superscript"/>
        </w:rPr>
        <w:t>SM</w:t>
      </w:r>
      <w:proofErr w:type="spellEnd"/>
      <w:r w:rsidR="00D571C4" w:rsidRPr="00D571C4">
        <w:rPr>
          <w:rFonts w:ascii="Arial" w:eastAsia="Arial" w:hAnsi="Arial" w:cs="Arial"/>
          <w:vertAlign w:val="superscript"/>
        </w:rPr>
        <w:t xml:space="preserve"> </w:t>
      </w:r>
      <w:r w:rsidR="00D571C4" w:rsidRPr="00D571C4">
        <w:rPr>
          <w:rFonts w:ascii="Arial" w:eastAsia="Arial" w:hAnsi="Arial" w:cs="Arial"/>
        </w:rPr>
        <w:t>using a single, core agnostic, interface.</w:t>
      </w:r>
    </w:p>
    <w:p w14:paraId="044F4ACA" w14:textId="77777777" w:rsidR="00D571C4" w:rsidRPr="00D571C4" w:rsidRDefault="00D571C4" w:rsidP="00D571C4">
      <w:pPr>
        <w:spacing w:after="0" w:line="360" w:lineRule="auto"/>
        <w:rPr>
          <w:rFonts w:ascii="Arial" w:eastAsia="Arial" w:hAnsi="Arial" w:cs="Arial"/>
        </w:rPr>
      </w:pPr>
    </w:p>
    <w:p w14:paraId="7E1AE8F8" w14:textId="3A5794B9" w:rsidR="00D571C4" w:rsidRPr="00D571C4" w:rsidRDefault="00D571C4" w:rsidP="00D571C4">
      <w:pPr>
        <w:spacing w:after="0" w:line="360" w:lineRule="auto"/>
        <w:rPr>
          <w:rFonts w:ascii="Arial" w:eastAsia="Arial" w:hAnsi="Arial" w:cs="Arial"/>
        </w:rPr>
      </w:pPr>
      <w:r w:rsidRPr="00D571C4">
        <w:rPr>
          <w:rFonts w:ascii="Arial" w:eastAsia="Arial" w:hAnsi="Arial" w:cs="Arial"/>
        </w:rPr>
        <w:t xml:space="preserve">Finzly's instant payment solution takes the complexity out of instant payments and can be up and running in as little as three months. The payments hub features: </w:t>
      </w:r>
    </w:p>
    <w:p w14:paraId="69686003" w14:textId="77777777" w:rsidR="00D571C4" w:rsidRPr="00D571C4" w:rsidRDefault="00D571C4" w:rsidP="00D571C4">
      <w:pPr>
        <w:numPr>
          <w:ilvl w:val="0"/>
          <w:numId w:val="3"/>
        </w:numPr>
        <w:spacing w:after="0" w:line="360" w:lineRule="auto"/>
        <w:rPr>
          <w:rFonts w:ascii="Arial" w:eastAsia="Arial" w:hAnsi="Arial" w:cs="Arial"/>
        </w:rPr>
      </w:pPr>
      <w:r w:rsidRPr="00D571C4">
        <w:rPr>
          <w:rFonts w:ascii="Arial" w:eastAsia="Arial" w:hAnsi="Arial" w:cs="Arial"/>
        </w:rPr>
        <w:t xml:space="preserve">Preloaded connections to the Fed and The Clearing House for instant payments </w:t>
      </w:r>
    </w:p>
    <w:p w14:paraId="64383EE9" w14:textId="77777777" w:rsidR="00D571C4" w:rsidRPr="00D571C4" w:rsidRDefault="00D571C4" w:rsidP="00D571C4">
      <w:pPr>
        <w:numPr>
          <w:ilvl w:val="0"/>
          <w:numId w:val="3"/>
        </w:numPr>
        <w:spacing w:after="0" w:line="360" w:lineRule="auto"/>
        <w:rPr>
          <w:rFonts w:ascii="Arial" w:eastAsia="Arial" w:hAnsi="Arial" w:cs="Arial"/>
        </w:rPr>
      </w:pPr>
      <w:r w:rsidRPr="00D571C4">
        <w:rPr>
          <w:rFonts w:ascii="Arial" w:eastAsia="Arial" w:hAnsi="Arial" w:cs="Arial"/>
        </w:rPr>
        <w:t xml:space="preserve">Built-in compliance features, powerful audit trails and meaningful dashboards </w:t>
      </w:r>
    </w:p>
    <w:p w14:paraId="5CD25918" w14:textId="77777777" w:rsidR="00D571C4" w:rsidRPr="00D571C4" w:rsidRDefault="00D571C4" w:rsidP="00D571C4">
      <w:pPr>
        <w:numPr>
          <w:ilvl w:val="0"/>
          <w:numId w:val="3"/>
        </w:numPr>
        <w:spacing w:after="0" w:line="360" w:lineRule="auto"/>
        <w:rPr>
          <w:rFonts w:ascii="Arial" w:eastAsia="Arial" w:hAnsi="Arial" w:cs="Arial"/>
        </w:rPr>
      </w:pPr>
      <w:r w:rsidRPr="00D571C4">
        <w:rPr>
          <w:rFonts w:ascii="Arial" w:eastAsia="Arial" w:hAnsi="Arial" w:cs="Arial"/>
        </w:rPr>
        <w:t>Bulk payment service to pay in real-time or future date scheduling</w:t>
      </w:r>
    </w:p>
    <w:p w14:paraId="0CB0CF81" w14:textId="77777777" w:rsidR="00D571C4" w:rsidRPr="00D571C4" w:rsidRDefault="00D571C4" w:rsidP="00D571C4">
      <w:pPr>
        <w:numPr>
          <w:ilvl w:val="0"/>
          <w:numId w:val="3"/>
        </w:numPr>
        <w:spacing w:after="0" w:line="360" w:lineRule="auto"/>
        <w:rPr>
          <w:rFonts w:ascii="Arial" w:eastAsia="Arial" w:hAnsi="Arial" w:cs="Arial"/>
        </w:rPr>
      </w:pPr>
      <w:r w:rsidRPr="00D571C4">
        <w:rPr>
          <w:rFonts w:ascii="Arial" w:eastAsia="Arial" w:hAnsi="Arial" w:cs="Arial"/>
        </w:rPr>
        <w:t>A secure system for payments and messages for fraud management</w:t>
      </w:r>
    </w:p>
    <w:p w14:paraId="76153CE9" w14:textId="77777777" w:rsidR="00D571C4" w:rsidRPr="00D571C4" w:rsidRDefault="00D571C4" w:rsidP="00D571C4">
      <w:pPr>
        <w:spacing w:after="0" w:line="360" w:lineRule="auto"/>
        <w:rPr>
          <w:rFonts w:ascii="Arial" w:eastAsia="Arial" w:hAnsi="Arial" w:cs="Arial"/>
        </w:rPr>
      </w:pPr>
      <w:r w:rsidRPr="00D571C4">
        <w:rPr>
          <w:rFonts w:ascii="Arial" w:eastAsia="Arial" w:hAnsi="Arial" w:cs="Arial"/>
        </w:rPr>
        <w:t xml:space="preserve"> </w:t>
      </w:r>
    </w:p>
    <w:p w14:paraId="27CEA790" w14:textId="77777777" w:rsidR="00D571C4" w:rsidRPr="00D571C4" w:rsidRDefault="00D571C4" w:rsidP="00D571C4">
      <w:pPr>
        <w:spacing w:after="0" w:line="360" w:lineRule="auto"/>
        <w:rPr>
          <w:rFonts w:ascii="Arial" w:eastAsia="Arial" w:hAnsi="Arial" w:cs="Arial"/>
        </w:rPr>
      </w:pPr>
      <w:r w:rsidRPr="00D571C4">
        <w:rPr>
          <w:rFonts w:ascii="Arial" w:eastAsia="Arial" w:hAnsi="Arial" w:cs="Arial"/>
        </w:rPr>
        <w:lastRenderedPageBreak/>
        <w:t xml:space="preserve">“We are very excited to partner with ICBA </w:t>
      </w:r>
      <w:proofErr w:type="spellStart"/>
      <w:r w:rsidRPr="00D571C4">
        <w:rPr>
          <w:rFonts w:ascii="Arial" w:eastAsia="Arial" w:hAnsi="Arial" w:cs="Arial"/>
        </w:rPr>
        <w:t>Bancard</w:t>
      </w:r>
      <w:proofErr w:type="spellEnd"/>
      <w:r w:rsidRPr="00D571C4">
        <w:rPr>
          <w:rFonts w:ascii="Arial" w:eastAsia="Arial" w:hAnsi="Arial" w:cs="Arial"/>
        </w:rPr>
        <w:t xml:space="preserve"> and are eager to see more community banks pursuing the road to innovation through smarter payments transformation,” Finzly Founder and CEO Booshan Rengachari said. “Finzly’s payments hub not only helps banks stay relevant in today’s fast-paced market, but also helps future-proof their payment infrastructure.” </w:t>
      </w:r>
    </w:p>
    <w:p w14:paraId="3E4C59AE" w14:textId="77777777" w:rsidR="00D571C4" w:rsidRDefault="00D571C4" w:rsidP="00CB4CCE">
      <w:pPr>
        <w:spacing w:after="0" w:line="360" w:lineRule="auto"/>
        <w:rPr>
          <w:rFonts w:ascii="Arial" w:eastAsia="Arial" w:hAnsi="Arial" w:cs="Arial"/>
        </w:rPr>
      </w:pPr>
    </w:p>
    <w:p w14:paraId="79979357" w14:textId="77777777" w:rsidR="00D571C4" w:rsidRPr="00D571C4" w:rsidRDefault="00D571C4" w:rsidP="00D571C4">
      <w:pPr>
        <w:shd w:val="clear" w:color="auto" w:fill="FFFFFF"/>
        <w:spacing w:after="0" w:line="360" w:lineRule="auto"/>
        <w:jc w:val="both"/>
        <w:rPr>
          <w:rFonts w:ascii="Arial" w:eastAsia="Times New Roman" w:hAnsi="Arial" w:cs="Arial"/>
          <w:i/>
          <w:iCs/>
          <w:color w:val="222222"/>
        </w:rPr>
      </w:pPr>
      <w:r w:rsidRPr="00D571C4">
        <w:rPr>
          <w:rFonts w:ascii="Arial" w:eastAsia="Times New Roman" w:hAnsi="Arial" w:cs="Arial"/>
          <w:b/>
          <w:bCs/>
          <w:color w:val="222222"/>
        </w:rPr>
        <w:t xml:space="preserve">About ICBA </w:t>
      </w:r>
      <w:proofErr w:type="spellStart"/>
      <w:r w:rsidRPr="00D571C4">
        <w:rPr>
          <w:rFonts w:ascii="Arial" w:eastAsia="Times New Roman" w:hAnsi="Arial" w:cs="Arial"/>
          <w:b/>
          <w:bCs/>
          <w:color w:val="222222"/>
        </w:rPr>
        <w:t>Bancard</w:t>
      </w:r>
      <w:proofErr w:type="spellEnd"/>
    </w:p>
    <w:p w14:paraId="46FC5E86" w14:textId="77777777" w:rsidR="00D571C4" w:rsidRPr="00D571C4" w:rsidRDefault="00D571C4" w:rsidP="00D571C4">
      <w:pPr>
        <w:shd w:val="clear" w:color="auto" w:fill="FFFFFF"/>
        <w:spacing w:after="0" w:line="360" w:lineRule="auto"/>
        <w:jc w:val="both"/>
        <w:rPr>
          <w:rFonts w:ascii="Arial" w:eastAsia="Times New Roman" w:hAnsi="Arial" w:cs="Arial"/>
          <w:color w:val="222222"/>
        </w:rPr>
      </w:pPr>
      <w:r w:rsidRPr="00D571C4">
        <w:rPr>
          <w:rFonts w:ascii="Arial" w:eastAsia="Times New Roman" w:hAnsi="Arial" w:cs="Arial"/>
          <w:color w:val="222222"/>
        </w:rPr>
        <w:t xml:space="preserve">ICBA </w:t>
      </w:r>
      <w:proofErr w:type="spellStart"/>
      <w:r w:rsidRPr="00D571C4">
        <w:rPr>
          <w:rFonts w:ascii="Arial" w:eastAsia="Times New Roman" w:hAnsi="Arial" w:cs="Arial"/>
          <w:color w:val="222222"/>
        </w:rPr>
        <w:t>Bancard</w:t>
      </w:r>
      <w:proofErr w:type="spellEnd"/>
      <w:r w:rsidRPr="00D571C4">
        <w:rPr>
          <w:rFonts w:ascii="Arial" w:eastAsia="Times New Roman" w:hAnsi="Arial" w:cs="Arial"/>
          <w:color w:val="222222"/>
        </w:rPr>
        <w:t xml:space="preserve">® is the wholly owned payment services subsidiary of the Independent Community Bankers of America. ICBA </w:t>
      </w:r>
      <w:proofErr w:type="spellStart"/>
      <w:r w:rsidRPr="00D571C4">
        <w:rPr>
          <w:rFonts w:ascii="Arial" w:eastAsia="Times New Roman" w:hAnsi="Arial" w:cs="Arial"/>
          <w:color w:val="222222"/>
        </w:rPr>
        <w:t>Bancard’s</w:t>
      </w:r>
      <w:proofErr w:type="spellEnd"/>
      <w:r w:rsidRPr="00D571C4">
        <w:rPr>
          <w:rFonts w:ascii="Arial" w:eastAsia="Times New Roman" w:hAnsi="Arial" w:cs="Arial"/>
          <w:color w:val="222222"/>
        </w:rPr>
        <w:t xml:space="preserve"> community bank issuers generated nearly $32 billion in sales volume in 2020 and are ranked collectively as the 24th largest credit card portfolio and 10th largest debit portfolio in the United States. ICBA </w:t>
      </w:r>
      <w:proofErr w:type="spellStart"/>
      <w:r w:rsidRPr="00D571C4">
        <w:rPr>
          <w:rFonts w:ascii="Arial" w:eastAsia="Times New Roman" w:hAnsi="Arial" w:cs="Arial"/>
          <w:color w:val="222222"/>
        </w:rPr>
        <w:t>Bancard</w:t>
      </w:r>
      <w:proofErr w:type="spellEnd"/>
      <w:r w:rsidRPr="00D571C4">
        <w:rPr>
          <w:rFonts w:ascii="Arial" w:eastAsia="Times New Roman" w:hAnsi="Arial" w:cs="Arial"/>
          <w:color w:val="222222"/>
        </w:rPr>
        <w:t xml:space="preserve"> enables thousands of community banks to provide competitive credit card, debit card, and payment processing solutions. The company also provides exclusive services to issuers including its Fraud Loss Protection Plan, marketing support, and product education. For more information, visit </w:t>
      </w:r>
      <w:hyperlink r:id="rId13" w:history="1">
        <w:r w:rsidRPr="00D571C4">
          <w:rPr>
            <w:rStyle w:val="Hyperlink"/>
            <w:rFonts w:ascii="Arial" w:eastAsia="Times New Roman" w:hAnsi="Arial" w:cs="Arial"/>
          </w:rPr>
          <w:t>www.icbabancard.org</w:t>
        </w:r>
      </w:hyperlink>
      <w:r w:rsidRPr="00D571C4">
        <w:rPr>
          <w:rFonts w:ascii="Arial" w:eastAsia="Times New Roman" w:hAnsi="Arial" w:cs="Arial"/>
          <w:color w:val="222222"/>
        </w:rPr>
        <w:t>.</w:t>
      </w:r>
    </w:p>
    <w:p w14:paraId="56D07751" w14:textId="388DB904" w:rsidR="00146200" w:rsidRPr="00146200" w:rsidRDefault="00146200" w:rsidP="00146200">
      <w:pPr>
        <w:shd w:val="clear" w:color="auto" w:fill="FFFFFF"/>
        <w:spacing w:after="0" w:line="360" w:lineRule="auto"/>
        <w:jc w:val="both"/>
        <w:rPr>
          <w:rFonts w:ascii="Arial" w:eastAsia="Times New Roman" w:hAnsi="Arial" w:cs="Arial"/>
          <w:color w:val="222222"/>
        </w:rPr>
      </w:pPr>
    </w:p>
    <w:p w14:paraId="451562A0" w14:textId="1D6F6DB5" w:rsidR="00401408" w:rsidRPr="00146200" w:rsidRDefault="00FA5BC0" w:rsidP="00146200">
      <w:pPr>
        <w:shd w:val="clear" w:color="auto" w:fill="FFFFFF"/>
        <w:spacing w:after="0" w:line="360" w:lineRule="auto"/>
        <w:jc w:val="both"/>
        <w:rPr>
          <w:rFonts w:ascii="Arial" w:eastAsia="Times New Roman" w:hAnsi="Arial" w:cs="Arial"/>
          <w:color w:val="222222"/>
        </w:rPr>
      </w:pPr>
      <w:r w:rsidRPr="00146200">
        <w:rPr>
          <w:rFonts w:ascii="Arial" w:eastAsia="Arial" w:hAnsi="Arial" w:cs="Arial"/>
          <w:b/>
        </w:rPr>
        <w:t>About Finzly</w:t>
      </w:r>
    </w:p>
    <w:p w14:paraId="7475FF18" w14:textId="763240C8" w:rsidR="00884A74" w:rsidRPr="00146200" w:rsidRDefault="00FA5BC0">
      <w:pPr>
        <w:spacing w:after="0" w:line="360" w:lineRule="auto"/>
        <w:rPr>
          <w:rFonts w:ascii="Arial" w:eastAsia="Arial" w:hAnsi="Arial" w:cs="Arial"/>
        </w:rPr>
      </w:pPr>
      <w:r w:rsidRPr="00146200">
        <w:rPr>
          <w:rFonts w:ascii="Arial" w:eastAsia="Arial" w:hAnsi="Arial" w:cs="Arial"/>
        </w:rPr>
        <w:t xml:space="preserve">Finzly connects financial institutions with customers through a modern digital banking experience and an efficient, real-time payment services hub. Freeing financial institutions from core system limitations, Finzly’s open, cloud-based bank operating system, BankOS, enables transformation and innovation at the speed of fintech. With freedom to adopt solutions from Finzly and third parties of choice, financial institutions can implement apps in three simple steps – subscribe, try and launch. Serving customers across North America, Finzly has been modernizing international banking and treasury management solutions since 2012. For more information, visit </w:t>
      </w:r>
      <w:hyperlink r:id="rId14">
        <w:r w:rsidRPr="00146200">
          <w:rPr>
            <w:rFonts w:ascii="Arial" w:eastAsia="Arial" w:hAnsi="Arial" w:cs="Arial"/>
            <w:color w:val="0000FF"/>
            <w:u w:val="single"/>
          </w:rPr>
          <w:t>www.finzly.com</w:t>
        </w:r>
      </w:hyperlink>
      <w:r w:rsidRPr="00146200">
        <w:rPr>
          <w:rFonts w:ascii="Arial" w:eastAsia="Arial" w:hAnsi="Arial" w:cs="Arial"/>
        </w:rPr>
        <w:t>.</w:t>
      </w:r>
    </w:p>
    <w:p w14:paraId="00EC3D6F" w14:textId="77777777" w:rsidR="00401408" w:rsidRDefault="00401408">
      <w:pPr>
        <w:spacing w:after="0" w:line="360" w:lineRule="auto"/>
        <w:rPr>
          <w:rFonts w:ascii="Arial" w:eastAsia="Arial" w:hAnsi="Arial" w:cs="Arial"/>
          <w:sz w:val="20"/>
          <w:szCs w:val="20"/>
        </w:rPr>
      </w:pPr>
    </w:p>
    <w:p w14:paraId="55A9C3CA" w14:textId="77777777" w:rsidR="002C6CCC" w:rsidRDefault="002C6CCC">
      <w:pPr>
        <w:spacing w:after="0"/>
        <w:jc w:val="center"/>
        <w:rPr>
          <w:rFonts w:ascii="Arial" w:eastAsia="Arial" w:hAnsi="Arial" w:cs="Arial"/>
          <w:sz w:val="20"/>
          <w:szCs w:val="20"/>
        </w:rPr>
      </w:pPr>
    </w:p>
    <w:p w14:paraId="6717CE15" w14:textId="76CA9B03" w:rsidR="00884A74" w:rsidRDefault="00FA5BC0">
      <w:pPr>
        <w:spacing w:after="0"/>
        <w:jc w:val="center"/>
        <w:rPr>
          <w:rFonts w:ascii="Arial" w:eastAsia="Arial" w:hAnsi="Arial" w:cs="Arial"/>
          <w:sz w:val="20"/>
          <w:szCs w:val="20"/>
        </w:rPr>
      </w:pPr>
      <w:r>
        <w:rPr>
          <w:rFonts w:ascii="Arial" w:eastAsia="Arial" w:hAnsi="Arial" w:cs="Arial"/>
          <w:sz w:val="20"/>
          <w:szCs w:val="20"/>
        </w:rPr>
        <w:t>###</w:t>
      </w:r>
    </w:p>
    <w:p w14:paraId="1749E9C7" w14:textId="77777777" w:rsidR="00884A74" w:rsidRDefault="00884A74">
      <w:pPr>
        <w:spacing w:after="0"/>
        <w:jc w:val="center"/>
        <w:rPr>
          <w:rFonts w:ascii="Arial" w:eastAsia="Arial" w:hAnsi="Arial" w:cs="Arial"/>
          <w:sz w:val="20"/>
          <w:szCs w:val="20"/>
        </w:rPr>
      </w:pPr>
    </w:p>
    <w:sectPr w:rsidR="00884A7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9E07B3"/>
    <w:multiLevelType w:val="hybridMultilevel"/>
    <w:tmpl w:val="B76E6C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43515D"/>
    <w:multiLevelType w:val="hybridMultilevel"/>
    <w:tmpl w:val="51664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AB09FA"/>
    <w:multiLevelType w:val="multilevel"/>
    <w:tmpl w:val="CAA4A4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4A74"/>
    <w:rsid w:val="00021618"/>
    <w:rsid w:val="00082FD8"/>
    <w:rsid w:val="000A0BEF"/>
    <w:rsid w:val="000C5E63"/>
    <w:rsid w:val="000E58EF"/>
    <w:rsid w:val="00146200"/>
    <w:rsid w:val="002031DB"/>
    <w:rsid w:val="002105A6"/>
    <w:rsid w:val="002155B4"/>
    <w:rsid w:val="002C6CCC"/>
    <w:rsid w:val="00327CB6"/>
    <w:rsid w:val="00365D37"/>
    <w:rsid w:val="003F061E"/>
    <w:rsid w:val="00401408"/>
    <w:rsid w:val="004A1147"/>
    <w:rsid w:val="004B4251"/>
    <w:rsid w:val="004D67D5"/>
    <w:rsid w:val="005368D0"/>
    <w:rsid w:val="0054387C"/>
    <w:rsid w:val="0057702E"/>
    <w:rsid w:val="00594CEF"/>
    <w:rsid w:val="006253FB"/>
    <w:rsid w:val="00645153"/>
    <w:rsid w:val="006B20EA"/>
    <w:rsid w:val="006C0D46"/>
    <w:rsid w:val="006E3503"/>
    <w:rsid w:val="00784457"/>
    <w:rsid w:val="007B1249"/>
    <w:rsid w:val="007D160A"/>
    <w:rsid w:val="007D7EE3"/>
    <w:rsid w:val="007E23D9"/>
    <w:rsid w:val="00824BBC"/>
    <w:rsid w:val="00857322"/>
    <w:rsid w:val="00857C73"/>
    <w:rsid w:val="00884A74"/>
    <w:rsid w:val="008E641A"/>
    <w:rsid w:val="008F711E"/>
    <w:rsid w:val="009621F4"/>
    <w:rsid w:val="0096453F"/>
    <w:rsid w:val="0099737E"/>
    <w:rsid w:val="009C2699"/>
    <w:rsid w:val="009D7F8F"/>
    <w:rsid w:val="009E71D5"/>
    <w:rsid w:val="00A01690"/>
    <w:rsid w:val="00A11121"/>
    <w:rsid w:val="00A310A5"/>
    <w:rsid w:val="00A45ED9"/>
    <w:rsid w:val="00A64B2E"/>
    <w:rsid w:val="00A64B32"/>
    <w:rsid w:val="00A860EA"/>
    <w:rsid w:val="00AA2552"/>
    <w:rsid w:val="00AC1D52"/>
    <w:rsid w:val="00AE6505"/>
    <w:rsid w:val="00B16D07"/>
    <w:rsid w:val="00B6590B"/>
    <w:rsid w:val="00B67781"/>
    <w:rsid w:val="00BA3C28"/>
    <w:rsid w:val="00C00BD5"/>
    <w:rsid w:val="00C13F3F"/>
    <w:rsid w:val="00C37150"/>
    <w:rsid w:val="00C47D1D"/>
    <w:rsid w:val="00CB4CCE"/>
    <w:rsid w:val="00CE1301"/>
    <w:rsid w:val="00D0319E"/>
    <w:rsid w:val="00D06E5A"/>
    <w:rsid w:val="00D1220E"/>
    <w:rsid w:val="00D571C4"/>
    <w:rsid w:val="00D60CBC"/>
    <w:rsid w:val="00DA4992"/>
    <w:rsid w:val="00DD12AF"/>
    <w:rsid w:val="00E00621"/>
    <w:rsid w:val="00E246B5"/>
    <w:rsid w:val="00E410B2"/>
    <w:rsid w:val="00E564EB"/>
    <w:rsid w:val="00E77EDA"/>
    <w:rsid w:val="00E83723"/>
    <w:rsid w:val="00E901AF"/>
    <w:rsid w:val="00E94C07"/>
    <w:rsid w:val="00F0205D"/>
    <w:rsid w:val="00F376D6"/>
    <w:rsid w:val="00F75077"/>
    <w:rsid w:val="00FA4AFE"/>
    <w:rsid w:val="00FA5BC0"/>
    <w:rsid w:val="5FEFCD96"/>
    <w:rsid w:val="65C61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2DABE"/>
  <w15:docId w15:val="{C2F738E2-453B-BB47-92B6-301D19A0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customStyle="1" w:styleId="UnresolvedMention1">
    <w:name w:val="Unresolved Mention1"/>
    <w:basedOn w:val="DefaultParagraphFont"/>
    <w:uiPriority w:val="99"/>
    <w:semiHidden/>
    <w:unhideWhenUsed/>
    <w:rsid w:val="00F4018D"/>
    <w:rPr>
      <w:color w:val="605E5C"/>
      <w:shd w:val="clear" w:color="auto" w:fill="E1DFDD"/>
    </w:rPr>
  </w:style>
  <w:style w:type="paragraph" w:styleId="NormalWeb">
    <w:name w:val="Normal (Web)"/>
    <w:basedOn w:val="Normal"/>
    <w:uiPriority w:val="99"/>
    <w:unhideWhenUsed/>
    <w:rsid w:val="007A114C"/>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3C2BD1"/>
    <w:rPr>
      <w:sz w:val="16"/>
      <w:szCs w:val="16"/>
    </w:rPr>
  </w:style>
  <w:style w:type="paragraph" w:styleId="CommentText">
    <w:name w:val="annotation text"/>
    <w:basedOn w:val="Normal"/>
    <w:link w:val="CommentTextChar"/>
    <w:uiPriority w:val="99"/>
    <w:unhideWhenUsed/>
    <w:rsid w:val="003C2BD1"/>
    <w:pPr>
      <w:spacing w:line="240" w:lineRule="auto"/>
    </w:pPr>
    <w:rPr>
      <w:sz w:val="20"/>
      <w:szCs w:val="20"/>
    </w:rPr>
  </w:style>
  <w:style w:type="character" w:customStyle="1" w:styleId="CommentTextChar">
    <w:name w:val="Comment Text Char"/>
    <w:basedOn w:val="DefaultParagraphFont"/>
    <w:link w:val="CommentText"/>
    <w:uiPriority w:val="99"/>
    <w:rsid w:val="003C2BD1"/>
    <w:rPr>
      <w:sz w:val="20"/>
      <w:szCs w:val="20"/>
    </w:rPr>
  </w:style>
  <w:style w:type="paragraph" w:styleId="CommentSubject">
    <w:name w:val="annotation subject"/>
    <w:basedOn w:val="CommentText"/>
    <w:next w:val="CommentText"/>
    <w:link w:val="CommentSubjectChar"/>
    <w:uiPriority w:val="99"/>
    <w:semiHidden/>
    <w:unhideWhenUsed/>
    <w:rsid w:val="003C2BD1"/>
    <w:rPr>
      <w:b/>
      <w:bCs/>
    </w:rPr>
  </w:style>
  <w:style w:type="character" w:customStyle="1" w:styleId="CommentSubjectChar">
    <w:name w:val="Comment Subject Char"/>
    <w:basedOn w:val="CommentTextChar"/>
    <w:link w:val="CommentSubject"/>
    <w:uiPriority w:val="99"/>
    <w:semiHidden/>
    <w:rsid w:val="003C2BD1"/>
    <w:rPr>
      <w:b/>
      <w:bCs/>
      <w:sz w:val="20"/>
      <w:szCs w:val="20"/>
    </w:rPr>
  </w:style>
  <w:style w:type="paragraph" w:styleId="BalloonText">
    <w:name w:val="Balloon Text"/>
    <w:basedOn w:val="Normal"/>
    <w:link w:val="BalloonTextChar"/>
    <w:uiPriority w:val="99"/>
    <w:semiHidden/>
    <w:unhideWhenUsed/>
    <w:rsid w:val="004A2C2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2C26"/>
    <w:rPr>
      <w:rFonts w:ascii="Segoe UI" w:hAnsi="Segoe UI" w:cs="Segoe UI"/>
      <w:sz w:val="18"/>
      <w:szCs w:val="18"/>
    </w:rPr>
  </w:style>
  <w:style w:type="character" w:styleId="FollowedHyperlink">
    <w:name w:val="FollowedHyperlink"/>
    <w:basedOn w:val="DefaultParagraphFont"/>
    <w:uiPriority w:val="99"/>
    <w:semiHidden/>
    <w:unhideWhenUsed/>
    <w:rsid w:val="00A70117"/>
    <w:rPr>
      <w:color w:val="800080" w:themeColor="followedHyperlink"/>
      <w:u w:val="single"/>
    </w:rPr>
  </w:style>
  <w:style w:type="character" w:styleId="Strong">
    <w:name w:val="Strong"/>
    <w:basedOn w:val="DefaultParagraphFont"/>
    <w:uiPriority w:val="22"/>
    <w:qFormat/>
    <w:rsid w:val="00A11121"/>
    <w:rPr>
      <w:b/>
      <w:bCs/>
    </w:rPr>
  </w:style>
  <w:style w:type="character" w:customStyle="1" w:styleId="apple-converted-space">
    <w:name w:val="apple-converted-space"/>
    <w:basedOn w:val="DefaultParagraphFont"/>
    <w:rsid w:val="00A11121"/>
  </w:style>
  <w:style w:type="paragraph" w:styleId="ListParagraph">
    <w:name w:val="List Paragraph"/>
    <w:basedOn w:val="Normal"/>
    <w:uiPriority w:val="34"/>
    <w:qFormat/>
    <w:rsid w:val="00B16D07"/>
    <w:pPr>
      <w:spacing w:after="0" w:line="240" w:lineRule="auto"/>
      <w:ind w:left="720"/>
    </w:pPr>
    <w:rPr>
      <w:rFonts w:eastAsiaTheme="minorHAnsi" w:cs="Times New Roman"/>
    </w:rPr>
  </w:style>
  <w:style w:type="character" w:customStyle="1" w:styleId="normaltextrun">
    <w:name w:val="normaltextrun"/>
    <w:basedOn w:val="DefaultParagraphFont"/>
    <w:rsid w:val="00B16D07"/>
  </w:style>
  <w:style w:type="character" w:customStyle="1" w:styleId="eop">
    <w:name w:val="eop"/>
    <w:basedOn w:val="DefaultParagraphFont"/>
    <w:rsid w:val="00B16D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858277">
      <w:bodyDiv w:val="1"/>
      <w:marLeft w:val="0"/>
      <w:marRight w:val="0"/>
      <w:marTop w:val="0"/>
      <w:marBottom w:val="0"/>
      <w:divBdr>
        <w:top w:val="none" w:sz="0" w:space="0" w:color="auto"/>
        <w:left w:val="none" w:sz="0" w:space="0" w:color="auto"/>
        <w:bottom w:val="none" w:sz="0" w:space="0" w:color="auto"/>
        <w:right w:val="none" w:sz="0" w:space="0" w:color="auto"/>
      </w:divBdr>
    </w:div>
    <w:div w:id="225188956">
      <w:bodyDiv w:val="1"/>
      <w:marLeft w:val="0"/>
      <w:marRight w:val="0"/>
      <w:marTop w:val="0"/>
      <w:marBottom w:val="0"/>
      <w:divBdr>
        <w:top w:val="none" w:sz="0" w:space="0" w:color="auto"/>
        <w:left w:val="none" w:sz="0" w:space="0" w:color="auto"/>
        <w:bottom w:val="none" w:sz="0" w:space="0" w:color="auto"/>
        <w:right w:val="none" w:sz="0" w:space="0" w:color="auto"/>
      </w:divBdr>
    </w:div>
    <w:div w:id="292443491">
      <w:bodyDiv w:val="1"/>
      <w:marLeft w:val="0"/>
      <w:marRight w:val="0"/>
      <w:marTop w:val="0"/>
      <w:marBottom w:val="0"/>
      <w:divBdr>
        <w:top w:val="none" w:sz="0" w:space="0" w:color="auto"/>
        <w:left w:val="none" w:sz="0" w:space="0" w:color="auto"/>
        <w:bottom w:val="none" w:sz="0" w:space="0" w:color="auto"/>
        <w:right w:val="none" w:sz="0" w:space="0" w:color="auto"/>
      </w:divBdr>
    </w:div>
    <w:div w:id="715004393">
      <w:bodyDiv w:val="1"/>
      <w:marLeft w:val="0"/>
      <w:marRight w:val="0"/>
      <w:marTop w:val="0"/>
      <w:marBottom w:val="0"/>
      <w:divBdr>
        <w:top w:val="none" w:sz="0" w:space="0" w:color="auto"/>
        <w:left w:val="none" w:sz="0" w:space="0" w:color="auto"/>
        <w:bottom w:val="none" w:sz="0" w:space="0" w:color="auto"/>
        <w:right w:val="none" w:sz="0" w:space="0" w:color="auto"/>
      </w:divBdr>
    </w:div>
    <w:div w:id="928778231">
      <w:bodyDiv w:val="1"/>
      <w:marLeft w:val="0"/>
      <w:marRight w:val="0"/>
      <w:marTop w:val="0"/>
      <w:marBottom w:val="0"/>
      <w:divBdr>
        <w:top w:val="none" w:sz="0" w:space="0" w:color="auto"/>
        <w:left w:val="none" w:sz="0" w:space="0" w:color="auto"/>
        <w:bottom w:val="none" w:sz="0" w:space="0" w:color="auto"/>
        <w:right w:val="none" w:sz="0" w:space="0" w:color="auto"/>
      </w:divBdr>
    </w:div>
    <w:div w:id="940533153">
      <w:bodyDiv w:val="1"/>
      <w:marLeft w:val="0"/>
      <w:marRight w:val="0"/>
      <w:marTop w:val="0"/>
      <w:marBottom w:val="0"/>
      <w:divBdr>
        <w:top w:val="none" w:sz="0" w:space="0" w:color="auto"/>
        <w:left w:val="none" w:sz="0" w:space="0" w:color="auto"/>
        <w:bottom w:val="none" w:sz="0" w:space="0" w:color="auto"/>
        <w:right w:val="none" w:sz="0" w:space="0" w:color="auto"/>
      </w:divBdr>
    </w:div>
    <w:div w:id="952175459">
      <w:bodyDiv w:val="1"/>
      <w:marLeft w:val="0"/>
      <w:marRight w:val="0"/>
      <w:marTop w:val="0"/>
      <w:marBottom w:val="0"/>
      <w:divBdr>
        <w:top w:val="none" w:sz="0" w:space="0" w:color="auto"/>
        <w:left w:val="none" w:sz="0" w:space="0" w:color="auto"/>
        <w:bottom w:val="none" w:sz="0" w:space="0" w:color="auto"/>
        <w:right w:val="none" w:sz="0" w:space="0" w:color="auto"/>
      </w:divBdr>
    </w:div>
    <w:div w:id="1012534555">
      <w:bodyDiv w:val="1"/>
      <w:marLeft w:val="0"/>
      <w:marRight w:val="0"/>
      <w:marTop w:val="0"/>
      <w:marBottom w:val="0"/>
      <w:divBdr>
        <w:top w:val="none" w:sz="0" w:space="0" w:color="auto"/>
        <w:left w:val="none" w:sz="0" w:space="0" w:color="auto"/>
        <w:bottom w:val="none" w:sz="0" w:space="0" w:color="auto"/>
        <w:right w:val="none" w:sz="0" w:space="0" w:color="auto"/>
      </w:divBdr>
    </w:div>
    <w:div w:id="1380086673">
      <w:bodyDiv w:val="1"/>
      <w:marLeft w:val="0"/>
      <w:marRight w:val="0"/>
      <w:marTop w:val="0"/>
      <w:marBottom w:val="0"/>
      <w:divBdr>
        <w:top w:val="none" w:sz="0" w:space="0" w:color="auto"/>
        <w:left w:val="none" w:sz="0" w:space="0" w:color="auto"/>
        <w:bottom w:val="none" w:sz="0" w:space="0" w:color="auto"/>
        <w:right w:val="none" w:sz="0" w:space="0" w:color="auto"/>
      </w:divBdr>
    </w:div>
    <w:div w:id="1601795031">
      <w:bodyDiv w:val="1"/>
      <w:marLeft w:val="0"/>
      <w:marRight w:val="0"/>
      <w:marTop w:val="0"/>
      <w:marBottom w:val="0"/>
      <w:divBdr>
        <w:top w:val="none" w:sz="0" w:space="0" w:color="auto"/>
        <w:left w:val="none" w:sz="0" w:space="0" w:color="auto"/>
        <w:bottom w:val="none" w:sz="0" w:space="0" w:color="auto"/>
        <w:right w:val="none" w:sz="0" w:space="0" w:color="auto"/>
      </w:divBdr>
    </w:div>
    <w:div w:id="1780907963">
      <w:bodyDiv w:val="1"/>
      <w:marLeft w:val="0"/>
      <w:marRight w:val="0"/>
      <w:marTop w:val="0"/>
      <w:marBottom w:val="0"/>
      <w:divBdr>
        <w:top w:val="none" w:sz="0" w:space="0" w:color="auto"/>
        <w:left w:val="none" w:sz="0" w:space="0" w:color="auto"/>
        <w:bottom w:val="none" w:sz="0" w:space="0" w:color="auto"/>
        <w:right w:val="none" w:sz="0" w:space="0" w:color="auto"/>
      </w:divBdr>
    </w:div>
    <w:div w:id="20123717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icbabancard.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finzly.com/payment-hub/"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inzly.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mailto:augusta@williammills.com"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www.finzl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go:gDocsCustomXmlDataStorage xmlns:go="http://customooxmlschemas.google.com/" xmlns:r="http://schemas.openxmlformats.org/officeDocument/2006/relationships">
  <go:docsCustomData xmlns:go="http://customooxmlschemas.google.com/" roundtripDataSignature="AMtx7mi2HIo9d3kC1rI3dce+lamewEIyWQ==">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</go:docsCustomData>
</go:gDocsCustomXmlDataStorage>
</file>

<file path=customXml/itemProps1.xml><?xml version="1.0" encoding="utf-8"?>
<ds:datastoreItem xmlns:ds="http://schemas.openxmlformats.org/officeDocument/2006/customXml" ds:itemID="{EB0D21B2-7B6D-4B84-8549-EA836036F66C}">
  <ds:schemaRefs>
    <ds:schemaRef ds:uri="http://schemas.microsoft.com/sharepoint/v3/contenttype/forms"/>
  </ds:schemaRefs>
</ds:datastoreItem>
</file>

<file path=customXml/itemProps2.xml><?xml version="1.0" encoding="utf-8"?>
<ds:datastoreItem xmlns:ds="http://schemas.openxmlformats.org/officeDocument/2006/customXml" ds:itemID="{87C26BB1-199F-4CFF-B0EF-EE86D73F26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972D017-5F13-4E76-A684-828A3FBD98A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570</Words>
  <Characters>3252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Ariana Luke</dc:creator>
  <cp:lastModifiedBy>Augusta Bauknight</cp:lastModifiedBy>
  <cp:revision>4</cp:revision>
  <dcterms:created xsi:type="dcterms:W3CDTF">2021-07-07T20:44:00Z</dcterms:created>
  <dcterms:modified xsi:type="dcterms:W3CDTF">2021-07-12T13:51:00Z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_NewReviewCycle">
    <vt:lpwstr/>
  </property>
</Properties>
</file>