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C3E4"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099A2B39" wp14:editId="7A78D876">
            <wp:simplePos x="0" y="0"/>
            <wp:positionH relativeFrom="margin">
              <wp:posOffset>3752850</wp:posOffset>
            </wp:positionH>
            <wp:positionV relativeFrom="margin">
              <wp:posOffset>-304798</wp:posOffset>
            </wp:positionV>
            <wp:extent cx="2199005" cy="716280"/>
            <wp:effectExtent l="0" t="0" r="0" b="0"/>
            <wp:wrapSquare wrapText="bothSides" distT="0" distB="0" distL="114300" distR="114300"/>
            <wp:docPr id="2"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9"/>
                    <a:srcRect/>
                    <a:stretch>
                      <a:fillRect/>
                    </a:stretch>
                  </pic:blipFill>
                  <pic:spPr>
                    <a:xfrm>
                      <a:off x="0" y="0"/>
                      <a:ext cx="2199005" cy="716280"/>
                    </a:xfrm>
                    <a:prstGeom prst="rect">
                      <a:avLst/>
                    </a:prstGeom>
                    <a:ln/>
                  </pic:spPr>
                </pic:pic>
              </a:graphicData>
            </a:graphic>
          </wp:anchor>
        </w:drawing>
      </w:r>
      <w:r w:rsidRPr="5FEFCD96">
        <w:rPr>
          <w:rFonts w:ascii="Arial" w:eastAsia="Arial" w:hAnsi="Arial" w:cs="Arial"/>
          <w:b/>
          <w:bCs/>
          <w:color w:val="000000"/>
          <w:sz w:val="20"/>
          <w:szCs w:val="20"/>
        </w:rPr>
        <w:t>MEDIA CONTACT:</w:t>
      </w:r>
      <w:r>
        <w:rPr>
          <w:rFonts w:ascii="Arial" w:eastAsia="Arial" w:hAnsi="Arial" w:cs="Arial"/>
          <w:color w:val="000000"/>
          <w:sz w:val="18"/>
          <w:szCs w:val="18"/>
        </w:rPr>
        <w:t>  </w:t>
      </w:r>
    </w:p>
    <w:p w14:paraId="34ABBC7F" w14:textId="77777777" w:rsidR="00884A74" w:rsidRDefault="00FA5BC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3B6B3698" w14:textId="77777777" w:rsidR="00884A74" w:rsidRDefault="00A45ED9">
      <w:pPr>
        <w:pBdr>
          <w:top w:val="nil"/>
          <w:left w:val="nil"/>
          <w:bottom w:val="nil"/>
          <w:right w:val="nil"/>
          <w:between w:val="nil"/>
        </w:pBdr>
        <w:spacing w:after="0" w:line="240" w:lineRule="auto"/>
        <w:rPr>
          <w:rFonts w:ascii="Arial" w:eastAsia="Arial" w:hAnsi="Arial" w:cs="Arial"/>
          <w:color w:val="000000"/>
          <w:sz w:val="18"/>
          <w:szCs w:val="18"/>
        </w:rPr>
      </w:pPr>
      <w:hyperlink r:id="rId10">
        <w:r w:rsidR="00FA5BC0">
          <w:rPr>
            <w:rFonts w:ascii="Arial" w:eastAsia="Arial" w:hAnsi="Arial" w:cs="Arial"/>
            <w:color w:val="0000FF"/>
            <w:sz w:val="20"/>
            <w:szCs w:val="20"/>
            <w:u w:val="single"/>
          </w:rPr>
          <w:t>augusta@williammills.com</w:t>
        </w:r>
      </w:hyperlink>
      <w:r w:rsidR="00FA5BC0">
        <w:rPr>
          <w:rFonts w:ascii="Arial" w:eastAsia="Arial" w:hAnsi="Arial" w:cs="Arial"/>
          <w:color w:val="000000"/>
          <w:sz w:val="20"/>
          <w:szCs w:val="20"/>
        </w:rPr>
        <w:t> </w:t>
      </w:r>
    </w:p>
    <w:p w14:paraId="5714C997" w14:textId="723121AF" w:rsidR="00884A74" w:rsidRDefault="00FA5BC0" w:rsidP="00A64B2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538678CD" w14:textId="77777777" w:rsidR="00884A74" w:rsidRDefault="00884A74">
      <w:pPr>
        <w:spacing w:after="0"/>
        <w:rPr>
          <w:rFonts w:ascii="Arial" w:eastAsia="Arial" w:hAnsi="Arial" w:cs="Arial"/>
          <w:b/>
        </w:rPr>
      </w:pPr>
    </w:p>
    <w:p w14:paraId="55352BB1" w14:textId="3582958E" w:rsidR="00884A74" w:rsidRDefault="00D571C4" w:rsidP="00D571C4">
      <w:pPr>
        <w:spacing w:after="0"/>
        <w:jc w:val="center"/>
        <w:rPr>
          <w:rFonts w:ascii="Arial" w:eastAsia="Arial" w:hAnsi="Arial" w:cs="Arial"/>
          <w:b/>
          <w:bCs/>
          <w:sz w:val="24"/>
          <w:szCs w:val="24"/>
        </w:rPr>
      </w:pPr>
      <w:r w:rsidRPr="00D571C4">
        <w:rPr>
          <w:rFonts w:ascii="Arial" w:eastAsia="Arial" w:hAnsi="Arial" w:cs="Arial"/>
          <w:b/>
          <w:bCs/>
          <w:sz w:val="24"/>
          <w:szCs w:val="24"/>
        </w:rPr>
        <w:t xml:space="preserve">ICBA </w:t>
      </w:r>
      <w:proofErr w:type="spellStart"/>
      <w:r w:rsidRPr="00D571C4">
        <w:rPr>
          <w:rFonts w:ascii="Arial" w:eastAsia="Arial" w:hAnsi="Arial" w:cs="Arial"/>
          <w:b/>
          <w:bCs/>
          <w:sz w:val="24"/>
          <w:szCs w:val="24"/>
        </w:rPr>
        <w:t>Bancard</w:t>
      </w:r>
      <w:proofErr w:type="spellEnd"/>
      <w:r w:rsidRPr="00D571C4">
        <w:rPr>
          <w:rFonts w:ascii="Arial" w:eastAsia="Arial" w:hAnsi="Arial" w:cs="Arial"/>
          <w:b/>
          <w:bCs/>
          <w:sz w:val="24"/>
          <w:szCs w:val="24"/>
        </w:rPr>
        <w:t xml:space="preserve"> and Finzly Partner to Offer Instant Payments  </w:t>
      </w:r>
    </w:p>
    <w:p w14:paraId="6DB02C65" w14:textId="77777777" w:rsidR="00D571C4" w:rsidRPr="007D7EE3" w:rsidRDefault="00D571C4" w:rsidP="00D571C4">
      <w:pPr>
        <w:spacing w:after="0"/>
        <w:jc w:val="center"/>
        <w:rPr>
          <w:rFonts w:ascii="Arial" w:eastAsia="Arial" w:hAnsi="Arial" w:cs="Arial"/>
          <w:i/>
          <w:color w:val="FF0000"/>
          <w:sz w:val="18"/>
          <w:szCs w:val="18"/>
        </w:rPr>
      </w:pPr>
    </w:p>
    <w:p w14:paraId="53229EC1" w14:textId="27E6F262" w:rsidR="00A64B2E" w:rsidRDefault="00784457" w:rsidP="006B20EA">
      <w:pPr>
        <w:spacing w:after="0" w:line="360" w:lineRule="auto"/>
        <w:jc w:val="center"/>
        <w:rPr>
          <w:rFonts w:ascii="Arial" w:hAnsi="Arial" w:cs="Arial"/>
          <w:i/>
          <w:color w:val="222222"/>
          <w:shd w:val="clear" w:color="auto" w:fill="FFFFFF"/>
        </w:rPr>
      </w:pPr>
      <w:r w:rsidRPr="006B20EA">
        <w:rPr>
          <w:rFonts w:ascii="Arial" w:hAnsi="Arial" w:cs="Arial"/>
          <w:i/>
          <w:color w:val="222222"/>
          <w:shd w:val="clear" w:color="auto" w:fill="FFFFFF"/>
        </w:rPr>
        <w:t>Finzly's core-agnostic payment solution to enable community banks to offer instant payments to their customers</w:t>
      </w:r>
    </w:p>
    <w:p w14:paraId="61ED717E" w14:textId="77777777" w:rsidR="00A45ED9" w:rsidRPr="00784457" w:rsidRDefault="00A45ED9" w:rsidP="006B20EA">
      <w:pPr>
        <w:spacing w:after="0" w:line="360" w:lineRule="auto"/>
        <w:jc w:val="center"/>
        <w:rPr>
          <w:rFonts w:ascii="Arial" w:eastAsia="Arial" w:hAnsi="Arial" w:cs="Arial"/>
          <w:i/>
        </w:rPr>
      </w:pPr>
    </w:p>
    <w:p w14:paraId="0835D7E3" w14:textId="7F548B57" w:rsidR="00D571C4" w:rsidRPr="00D571C4" w:rsidRDefault="00FA5BC0" w:rsidP="00D571C4">
      <w:pPr>
        <w:spacing w:after="0" w:line="360" w:lineRule="auto"/>
        <w:rPr>
          <w:rFonts w:ascii="Arial" w:eastAsia="Arial" w:hAnsi="Arial" w:cs="Arial"/>
        </w:rPr>
      </w:pPr>
      <w:r w:rsidRPr="00146200">
        <w:rPr>
          <w:rFonts w:ascii="Arial" w:eastAsia="Arial" w:hAnsi="Arial" w:cs="Arial"/>
          <w:b/>
        </w:rPr>
        <w:t>CHARLOTTE, N.C. –</w:t>
      </w:r>
      <w:r w:rsidR="000C5E63">
        <w:rPr>
          <w:rFonts w:ascii="Arial" w:eastAsia="Arial" w:hAnsi="Arial" w:cs="Arial"/>
          <w:b/>
        </w:rPr>
        <w:t xml:space="preserve"> </w:t>
      </w:r>
      <w:r w:rsidR="007D160A">
        <w:rPr>
          <w:rFonts w:ascii="Arial" w:eastAsia="Arial" w:hAnsi="Arial" w:cs="Arial"/>
          <w:b/>
        </w:rPr>
        <w:t>July</w:t>
      </w:r>
      <w:r w:rsidR="00327CB6" w:rsidRPr="00146200">
        <w:rPr>
          <w:rFonts w:ascii="Arial" w:eastAsia="Arial" w:hAnsi="Arial" w:cs="Arial"/>
          <w:b/>
        </w:rPr>
        <w:t xml:space="preserve"> </w:t>
      </w:r>
      <w:r w:rsidR="00D571C4">
        <w:rPr>
          <w:rFonts w:ascii="Arial" w:eastAsia="Arial" w:hAnsi="Arial" w:cs="Arial"/>
          <w:b/>
        </w:rPr>
        <w:t>12</w:t>
      </w:r>
      <w:r w:rsidRPr="00146200">
        <w:rPr>
          <w:rFonts w:ascii="Arial" w:eastAsia="Arial" w:hAnsi="Arial" w:cs="Arial"/>
          <w:b/>
        </w:rPr>
        <w:t xml:space="preserve">, 2021 </w:t>
      </w:r>
      <w:r w:rsidRPr="00146200">
        <w:rPr>
          <w:rFonts w:ascii="Arial" w:eastAsia="Arial" w:hAnsi="Arial" w:cs="Arial"/>
        </w:rPr>
        <w:t xml:space="preserve">– </w:t>
      </w:r>
      <w:hyperlink r:id="rId11">
        <w:r w:rsidRPr="00146200">
          <w:rPr>
            <w:rFonts w:ascii="Arial" w:eastAsia="Arial" w:hAnsi="Arial" w:cs="Arial"/>
            <w:color w:val="0000FF"/>
            <w:u w:val="single"/>
          </w:rPr>
          <w:t>Finzly</w:t>
        </w:r>
      </w:hyperlink>
      <w:r w:rsidRPr="00146200">
        <w:rPr>
          <w:rFonts w:ascii="Arial" w:eastAsia="Arial" w:hAnsi="Arial" w:cs="Arial"/>
        </w:rPr>
        <w:t xml:space="preserve">, a fintech provider of modern banking applications for payments, foreign exchange, trade finance and digital account opening, </w:t>
      </w:r>
      <w:r w:rsidR="00D571C4">
        <w:rPr>
          <w:rFonts w:ascii="Arial" w:eastAsia="Arial" w:hAnsi="Arial" w:cs="Arial"/>
        </w:rPr>
        <w:t xml:space="preserve">today </w:t>
      </w:r>
      <w:r w:rsidR="007D160A">
        <w:rPr>
          <w:rFonts w:ascii="Arial" w:eastAsia="Arial" w:hAnsi="Arial" w:cs="Arial"/>
        </w:rPr>
        <w:t>announce</w:t>
      </w:r>
      <w:r w:rsidR="00D06E5A">
        <w:rPr>
          <w:rFonts w:ascii="Arial" w:eastAsia="Arial" w:hAnsi="Arial" w:cs="Arial"/>
        </w:rPr>
        <w:t>d</w:t>
      </w:r>
      <w:r w:rsidR="007D160A">
        <w:rPr>
          <w:rFonts w:ascii="Arial" w:eastAsia="Arial" w:hAnsi="Arial" w:cs="Arial"/>
        </w:rPr>
        <w:t xml:space="preserve"> </w:t>
      </w:r>
      <w:r w:rsidR="00D571C4" w:rsidRPr="00D571C4">
        <w:rPr>
          <w:rFonts w:ascii="Arial" w:eastAsia="Arial" w:hAnsi="Arial" w:cs="Arial"/>
        </w:rPr>
        <w:t>a new partnership wit</w:t>
      </w:r>
      <w:r w:rsidR="00D571C4">
        <w:rPr>
          <w:rFonts w:ascii="Arial" w:eastAsia="Arial" w:hAnsi="Arial" w:cs="Arial"/>
        </w:rPr>
        <w:t xml:space="preserve">h </w:t>
      </w:r>
      <w:r w:rsidR="00D571C4" w:rsidRPr="00D571C4">
        <w:rPr>
          <w:rFonts w:ascii="Arial" w:eastAsia="Arial" w:hAnsi="Arial" w:cs="Arial"/>
        </w:rPr>
        <w:t xml:space="preserve">ICBA </w:t>
      </w:r>
      <w:proofErr w:type="spellStart"/>
      <w:r w:rsidR="00D571C4" w:rsidRPr="00D571C4">
        <w:rPr>
          <w:rFonts w:ascii="Arial" w:eastAsia="Arial" w:hAnsi="Arial" w:cs="Arial"/>
        </w:rPr>
        <w:t>Bancard</w:t>
      </w:r>
      <w:proofErr w:type="spellEnd"/>
      <w:r w:rsidR="00D571C4" w:rsidRPr="00D571C4">
        <w:rPr>
          <w:rFonts w:ascii="Arial" w:eastAsia="Arial" w:hAnsi="Arial" w:cs="Arial"/>
        </w:rPr>
        <w:t>, the payments services subsidiary of The Independent Community Bankers of America (ICBA), to facilitate instant payments via Finzly’s Payment Galaxy</w:t>
      </w:r>
      <w:r w:rsidR="00FA4AFE">
        <w:rPr>
          <w:rFonts w:ascii="Arial" w:eastAsia="Arial" w:hAnsi="Arial" w:cs="Arial"/>
        </w:rPr>
        <w:t>, a payment</w:t>
      </w:r>
      <w:r w:rsidR="00D571C4" w:rsidRPr="00D571C4">
        <w:rPr>
          <w:rFonts w:ascii="Arial" w:eastAsia="Arial" w:hAnsi="Arial" w:cs="Arial"/>
        </w:rPr>
        <w:t xml:space="preserve"> hub for improved convenience, cash flow and efficiency for community banks and their customers. Finzly was a fintech participant in ICBA’s 2020 </w:t>
      </w:r>
      <w:proofErr w:type="spellStart"/>
      <w:r w:rsidR="00D571C4" w:rsidRPr="00D571C4">
        <w:rPr>
          <w:rFonts w:ascii="Arial" w:eastAsia="Arial" w:hAnsi="Arial" w:cs="Arial"/>
        </w:rPr>
        <w:t>ThinkTECH</w:t>
      </w:r>
      <w:proofErr w:type="spellEnd"/>
      <w:r w:rsidR="00D571C4" w:rsidRPr="00D571C4">
        <w:rPr>
          <w:rFonts w:ascii="Arial" w:eastAsia="Arial" w:hAnsi="Arial" w:cs="Arial"/>
        </w:rPr>
        <w:t xml:space="preserve"> Accelerator program. </w:t>
      </w:r>
    </w:p>
    <w:p w14:paraId="14A7CA40" w14:textId="77777777" w:rsidR="00D571C4" w:rsidRPr="00D571C4" w:rsidRDefault="00D571C4" w:rsidP="00D571C4">
      <w:pPr>
        <w:spacing w:after="0" w:line="360" w:lineRule="auto"/>
        <w:rPr>
          <w:rFonts w:ascii="Arial" w:eastAsia="Arial" w:hAnsi="Arial" w:cs="Arial"/>
        </w:rPr>
      </w:pPr>
    </w:p>
    <w:p w14:paraId="0406C83A" w14:textId="4CF14F54" w:rsidR="00D571C4" w:rsidRDefault="00D571C4" w:rsidP="00D571C4">
      <w:pPr>
        <w:spacing w:after="0" w:line="360" w:lineRule="auto"/>
        <w:rPr>
          <w:rFonts w:ascii="Arial" w:eastAsia="Arial" w:hAnsi="Arial" w:cs="Arial"/>
        </w:rPr>
      </w:pPr>
      <w:r w:rsidRPr="00D571C4">
        <w:rPr>
          <w:rFonts w:ascii="Arial" w:eastAsia="Arial" w:hAnsi="Arial" w:cs="Arial"/>
        </w:rPr>
        <w:t xml:space="preserve">“The rise in digital and contactless payments, fueled by the pandemic, has heighted demand for faster payments,” ICBA </w:t>
      </w:r>
      <w:proofErr w:type="spellStart"/>
      <w:r w:rsidRPr="00D571C4">
        <w:rPr>
          <w:rFonts w:ascii="Arial" w:eastAsia="Arial" w:hAnsi="Arial" w:cs="Arial"/>
        </w:rPr>
        <w:t>Bancard</w:t>
      </w:r>
      <w:proofErr w:type="spellEnd"/>
      <w:r w:rsidRPr="00D571C4">
        <w:rPr>
          <w:rFonts w:ascii="Arial" w:eastAsia="Arial" w:hAnsi="Arial" w:cs="Arial"/>
        </w:rPr>
        <w:t xml:space="preserve"> President and CEO Tina Giorgio said. “Through this collaboration, ICBA </w:t>
      </w:r>
      <w:proofErr w:type="spellStart"/>
      <w:r w:rsidRPr="00D571C4">
        <w:rPr>
          <w:rFonts w:ascii="Arial" w:eastAsia="Arial" w:hAnsi="Arial" w:cs="Arial"/>
        </w:rPr>
        <w:t>Bancard</w:t>
      </w:r>
      <w:proofErr w:type="spellEnd"/>
      <w:r w:rsidRPr="00D571C4">
        <w:rPr>
          <w:rFonts w:ascii="Arial" w:eastAsia="Arial" w:hAnsi="Arial" w:cs="Arial"/>
        </w:rPr>
        <w:t xml:space="preserve"> is helping community banks deliver payments when and where customers want while streamlining their payment processes for additional value and distinction in the market.”</w:t>
      </w:r>
      <w:r w:rsidRPr="00D571C4" w:rsidDel="007A6A82">
        <w:rPr>
          <w:rFonts w:ascii="Arial" w:eastAsia="Arial" w:hAnsi="Arial" w:cs="Arial"/>
        </w:rPr>
        <w:t xml:space="preserve"> </w:t>
      </w:r>
    </w:p>
    <w:p w14:paraId="607D265A" w14:textId="77777777" w:rsidR="00D571C4" w:rsidRPr="00D571C4" w:rsidRDefault="00D571C4" w:rsidP="00D571C4">
      <w:pPr>
        <w:spacing w:after="0" w:line="360" w:lineRule="auto"/>
        <w:rPr>
          <w:rFonts w:ascii="Arial" w:eastAsia="Arial" w:hAnsi="Arial" w:cs="Arial"/>
        </w:rPr>
      </w:pPr>
    </w:p>
    <w:p w14:paraId="133C1DC8" w14:textId="2CA40C1B" w:rsidR="00D571C4" w:rsidRPr="00D571C4" w:rsidRDefault="00A45ED9" w:rsidP="00D571C4">
      <w:pPr>
        <w:spacing w:after="0" w:line="360" w:lineRule="auto"/>
        <w:rPr>
          <w:rFonts w:ascii="Arial" w:eastAsia="Arial" w:hAnsi="Arial" w:cs="Arial"/>
        </w:rPr>
      </w:pPr>
      <w:hyperlink r:id="rId12">
        <w:r w:rsidR="00D571C4" w:rsidRPr="00D571C4">
          <w:rPr>
            <w:rStyle w:val="Hyperlink"/>
            <w:rFonts w:ascii="Arial" w:eastAsia="Arial" w:hAnsi="Arial" w:cs="Arial"/>
          </w:rPr>
          <w:t>Payment Galaxy</w:t>
        </w:r>
      </w:hyperlink>
      <w:r w:rsidR="00D571C4" w:rsidRPr="00D571C4">
        <w:rPr>
          <w:rFonts w:ascii="Arial" w:eastAsia="Arial" w:hAnsi="Arial" w:cs="Arial"/>
        </w:rPr>
        <w:t xml:space="preserve"> enables the provision of existing payment services like ACH</w:t>
      </w:r>
      <w:r w:rsidR="00857C73">
        <w:rPr>
          <w:rFonts w:ascii="Arial" w:eastAsia="Arial" w:hAnsi="Arial" w:cs="Arial"/>
        </w:rPr>
        <w:t xml:space="preserve"> and wires</w:t>
      </w:r>
      <w:r w:rsidR="00D571C4" w:rsidRPr="00D571C4">
        <w:rPr>
          <w:rFonts w:ascii="Arial" w:eastAsia="Arial" w:hAnsi="Arial" w:cs="Arial"/>
        </w:rPr>
        <w:t xml:space="preserve">, alongside the new instant payment rails, including The Clearinghouse’s RTP® and when available, </w:t>
      </w:r>
      <w:proofErr w:type="spellStart"/>
      <w:r w:rsidR="00D571C4" w:rsidRPr="00D571C4">
        <w:rPr>
          <w:rFonts w:ascii="Arial" w:eastAsia="Arial" w:hAnsi="Arial" w:cs="Arial"/>
        </w:rPr>
        <w:t>FedNow</w:t>
      </w:r>
      <w:r w:rsidR="00D571C4" w:rsidRPr="00D571C4">
        <w:rPr>
          <w:rFonts w:ascii="Arial" w:eastAsia="Arial" w:hAnsi="Arial" w:cs="Arial"/>
          <w:vertAlign w:val="superscript"/>
        </w:rPr>
        <w:t>SM</w:t>
      </w:r>
      <w:proofErr w:type="spellEnd"/>
      <w:r w:rsidR="00D571C4" w:rsidRPr="00D571C4">
        <w:rPr>
          <w:rFonts w:ascii="Arial" w:eastAsia="Arial" w:hAnsi="Arial" w:cs="Arial"/>
          <w:vertAlign w:val="superscript"/>
        </w:rPr>
        <w:t xml:space="preserve"> </w:t>
      </w:r>
      <w:r w:rsidR="00D571C4" w:rsidRPr="00D571C4">
        <w:rPr>
          <w:rFonts w:ascii="Arial" w:eastAsia="Arial" w:hAnsi="Arial" w:cs="Arial"/>
        </w:rPr>
        <w:t>using a single, core agnostic, interface.</w:t>
      </w:r>
    </w:p>
    <w:p w14:paraId="044F4ACA" w14:textId="77777777" w:rsidR="00D571C4" w:rsidRPr="00D571C4" w:rsidRDefault="00D571C4" w:rsidP="00D571C4">
      <w:pPr>
        <w:spacing w:after="0" w:line="360" w:lineRule="auto"/>
        <w:rPr>
          <w:rFonts w:ascii="Arial" w:eastAsia="Arial" w:hAnsi="Arial" w:cs="Arial"/>
        </w:rPr>
      </w:pPr>
    </w:p>
    <w:p w14:paraId="7E1AE8F8" w14:textId="3A5794B9" w:rsidR="00D571C4" w:rsidRPr="00D571C4" w:rsidRDefault="00D571C4" w:rsidP="00D571C4">
      <w:pPr>
        <w:spacing w:after="0" w:line="360" w:lineRule="auto"/>
        <w:rPr>
          <w:rFonts w:ascii="Arial" w:eastAsia="Arial" w:hAnsi="Arial" w:cs="Arial"/>
        </w:rPr>
      </w:pPr>
      <w:r w:rsidRPr="00D571C4">
        <w:rPr>
          <w:rFonts w:ascii="Arial" w:eastAsia="Arial" w:hAnsi="Arial" w:cs="Arial"/>
        </w:rPr>
        <w:t xml:space="preserve">Finzly's instant payment solution takes the complexity out of instant payments and can be up and running in as little as three months. The payments hub features: </w:t>
      </w:r>
    </w:p>
    <w:p w14:paraId="69686003" w14:textId="77777777" w:rsidR="00D571C4" w:rsidRPr="00D571C4" w:rsidRDefault="00D571C4" w:rsidP="00D571C4">
      <w:pPr>
        <w:numPr>
          <w:ilvl w:val="0"/>
          <w:numId w:val="3"/>
        </w:numPr>
        <w:spacing w:after="0" w:line="360" w:lineRule="auto"/>
        <w:rPr>
          <w:rFonts w:ascii="Arial" w:eastAsia="Arial" w:hAnsi="Arial" w:cs="Arial"/>
        </w:rPr>
      </w:pPr>
      <w:r w:rsidRPr="00D571C4">
        <w:rPr>
          <w:rFonts w:ascii="Arial" w:eastAsia="Arial" w:hAnsi="Arial" w:cs="Arial"/>
        </w:rPr>
        <w:t xml:space="preserve">Preloaded connections to the Fed and The Clearing House for instant payments </w:t>
      </w:r>
    </w:p>
    <w:p w14:paraId="64383EE9" w14:textId="77777777" w:rsidR="00D571C4" w:rsidRPr="00D571C4" w:rsidRDefault="00D571C4" w:rsidP="00D571C4">
      <w:pPr>
        <w:numPr>
          <w:ilvl w:val="0"/>
          <w:numId w:val="3"/>
        </w:numPr>
        <w:spacing w:after="0" w:line="360" w:lineRule="auto"/>
        <w:rPr>
          <w:rFonts w:ascii="Arial" w:eastAsia="Arial" w:hAnsi="Arial" w:cs="Arial"/>
        </w:rPr>
      </w:pPr>
      <w:r w:rsidRPr="00D571C4">
        <w:rPr>
          <w:rFonts w:ascii="Arial" w:eastAsia="Arial" w:hAnsi="Arial" w:cs="Arial"/>
        </w:rPr>
        <w:t xml:space="preserve">Built-in compliance features, powerful audit trails and meaningful dashboards </w:t>
      </w:r>
    </w:p>
    <w:p w14:paraId="5CD25918" w14:textId="77777777" w:rsidR="00D571C4" w:rsidRPr="00D571C4" w:rsidRDefault="00D571C4" w:rsidP="00D571C4">
      <w:pPr>
        <w:numPr>
          <w:ilvl w:val="0"/>
          <w:numId w:val="3"/>
        </w:numPr>
        <w:spacing w:after="0" w:line="360" w:lineRule="auto"/>
        <w:rPr>
          <w:rFonts w:ascii="Arial" w:eastAsia="Arial" w:hAnsi="Arial" w:cs="Arial"/>
        </w:rPr>
      </w:pPr>
      <w:r w:rsidRPr="00D571C4">
        <w:rPr>
          <w:rFonts w:ascii="Arial" w:eastAsia="Arial" w:hAnsi="Arial" w:cs="Arial"/>
        </w:rPr>
        <w:t>Bulk payment service to pay in real-time or future date scheduling</w:t>
      </w:r>
    </w:p>
    <w:p w14:paraId="0CB0CF81" w14:textId="77777777" w:rsidR="00D571C4" w:rsidRPr="00D571C4" w:rsidRDefault="00D571C4" w:rsidP="00D571C4">
      <w:pPr>
        <w:numPr>
          <w:ilvl w:val="0"/>
          <w:numId w:val="3"/>
        </w:numPr>
        <w:spacing w:after="0" w:line="360" w:lineRule="auto"/>
        <w:rPr>
          <w:rFonts w:ascii="Arial" w:eastAsia="Arial" w:hAnsi="Arial" w:cs="Arial"/>
        </w:rPr>
      </w:pPr>
      <w:r w:rsidRPr="00D571C4">
        <w:rPr>
          <w:rFonts w:ascii="Arial" w:eastAsia="Arial" w:hAnsi="Arial" w:cs="Arial"/>
        </w:rPr>
        <w:t>A secure system for payments and messages for fraud management</w:t>
      </w:r>
    </w:p>
    <w:p w14:paraId="76153CE9" w14:textId="77777777" w:rsidR="00D571C4" w:rsidRPr="00D571C4" w:rsidRDefault="00D571C4" w:rsidP="00D571C4">
      <w:pPr>
        <w:spacing w:after="0" w:line="360" w:lineRule="auto"/>
        <w:rPr>
          <w:rFonts w:ascii="Arial" w:eastAsia="Arial" w:hAnsi="Arial" w:cs="Arial"/>
        </w:rPr>
      </w:pPr>
      <w:r w:rsidRPr="00D571C4">
        <w:rPr>
          <w:rFonts w:ascii="Arial" w:eastAsia="Arial" w:hAnsi="Arial" w:cs="Arial"/>
        </w:rPr>
        <w:t xml:space="preserve"> </w:t>
      </w:r>
    </w:p>
    <w:p w14:paraId="27CEA790" w14:textId="77777777" w:rsidR="00D571C4" w:rsidRPr="00D571C4" w:rsidRDefault="00D571C4" w:rsidP="00D571C4">
      <w:pPr>
        <w:spacing w:after="0" w:line="360" w:lineRule="auto"/>
        <w:rPr>
          <w:rFonts w:ascii="Arial" w:eastAsia="Arial" w:hAnsi="Arial" w:cs="Arial"/>
        </w:rPr>
      </w:pPr>
      <w:r w:rsidRPr="00D571C4">
        <w:rPr>
          <w:rFonts w:ascii="Arial" w:eastAsia="Arial" w:hAnsi="Arial" w:cs="Arial"/>
        </w:rPr>
        <w:lastRenderedPageBreak/>
        <w:t xml:space="preserve">“We are very excited to partner with ICBA </w:t>
      </w:r>
      <w:proofErr w:type="spellStart"/>
      <w:r w:rsidRPr="00D571C4">
        <w:rPr>
          <w:rFonts w:ascii="Arial" w:eastAsia="Arial" w:hAnsi="Arial" w:cs="Arial"/>
        </w:rPr>
        <w:t>Bancard</w:t>
      </w:r>
      <w:proofErr w:type="spellEnd"/>
      <w:r w:rsidRPr="00D571C4">
        <w:rPr>
          <w:rFonts w:ascii="Arial" w:eastAsia="Arial" w:hAnsi="Arial" w:cs="Arial"/>
        </w:rPr>
        <w:t xml:space="preserve"> and are eager to see more community banks pursuing the road to innovation through smarter payments transformation,” Finzly Founder and CEO Booshan Rengachari said. “Finzly’s payments hub not only helps banks stay relevant in today’s fast-paced market, but also helps future-proof their payment infrastructure.” </w:t>
      </w:r>
    </w:p>
    <w:p w14:paraId="3E4C59AE" w14:textId="77777777" w:rsidR="00D571C4" w:rsidRDefault="00D571C4" w:rsidP="00CB4CCE">
      <w:pPr>
        <w:spacing w:after="0" w:line="360" w:lineRule="auto"/>
        <w:rPr>
          <w:rFonts w:ascii="Arial" w:eastAsia="Arial" w:hAnsi="Arial" w:cs="Arial"/>
        </w:rPr>
      </w:pPr>
    </w:p>
    <w:p w14:paraId="79979357" w14:textId="77777777" w:rsidR="00D571C4" w:rsidRPr="00D571C4" w:rsidRDefault="00D571C4" w:rsidP="00D571C4">
      <w:pPr>
        <w:shd w:val="clear" w:color="auto" w:fill="FFFFFF"/>
        <w:spacing w:after="0" w:line="360" w:lineRule="auto"/>
        <w:jc w:val="both"/>
        <w:rPr>
          <w:rFonts w:ascii="Arial" w:eastAsia="Times New Roman" w:hAnsi="Arial" w:cs="Arial"/>
          <w:i/>
          <w:iCs/>
          <w:color w:val="222222"/>
        </w:rPr>
      </w:pPr>
      <w:r w:rsidRPr="00D571C4">
        <w:rPr>
          <w:rFonts w:ascii="Arial" w:eastAsia="Times New Roman" w:hAnsi="Arial" w:cs="Arial"/>
          <w:b/>
          <w:bCs/>
          <w:color w:val="222222"/>
        </w:rPr>
        <w:t xml:space="preserve">About ICBA </w:t>
      </w:r>
      <w:proofErr w:type="spellStart"/>
      <w:r w:rsidRPr="00D571C4">
        <w:rPr>
          <w:rFonts w:ascii="Arial" w:eastAsia="Times New Roman" w:hAnsi="Arial" w:cs="Arial"/>
          <w:b/>
          <w:bCs/>
          <w:color w:val="222222"/>
        </w:rPr>
        <w:t>Bancard</w:t>
      </w:r>
      <w:proofErr w:type="spellEnd"/>
    </w:p>
    <w:p w14:paraId="46FC5E86" w14:textId="77777777" w:rsidR="00D571C4" w:rsidRPr="00D571C4" w:rsidRDefault="00D571C4" w:rsidP="00D571C4">
      <w:pPr>
        <w:shd w:val="clear" w:color="auto" w:fill="FFFFFF"/>
        <w:spacing w:after="0" w:line="360" w:lineRule="auto"/>
        <w:jc w:val="both"/>
        <w:rPr>
          <w:rFonts w:ascii="Arial" w:eastAsia="Times New Roman" w:hAnsi="Arial" w:cs="Arial"/>
          <w:color w:val="222222"/>
        </w:rPr>
      </w:pPr>
      <w:r w:rsidRPr="00D571C4">
        <w:rPr>
          <w:rFonts w:ascii="Arial" w:eastAsia="Times New Roman" w:hAnsi="Arial" w:cs="Arial"/>
          <w:color w:val="222222"/>
        </w:rPr>
        <w:t xml:space="preserve">ICBA </w:t>
      </w:r>
      <w:proofErr w:type="spellStart"/>
      <w:r w:rsidRPr="00D571C4">
        <w:rPr>
          <w:rFonts w:ascii="Arial" w:eastAsia="Times New Roman" w:hAnsi="Arial" w:cs="Arial"/>
          <w:color w:val="222222"/>
        </w:rPr>
        <w:t>Bancard</w:t>
      </w:r>
      <w:proofErr w:type="spellEnd"/>
      <w:r w:rsidRPr="00D571C4">
        <w:rPr>
          <w:rFonts w:ascii="Arial" w:eastAsia="Times New Roman" w:hAnsi="Arial" w:cs="Arial"/>
          <w:color w:val="222222"/>
        </w:rPr>
        <w:t xml:space="preserve">® is the wholly owned payment services subsidiary of the Independent Community Bankers of America. ICBA </w:t>
      </w:r>
      <w:proofErr w:type="spellStart"/>
      <w:r w:rsidRPr="00D571C4">
        <w:rPr>
          <w:rFonts w:ascii="Arial" w:eastAsia="Times New Roman" w:hAnsi="Arial" w:cs="Arial"/>
          <w:color w:val="222222"/>
        </w:rPr>
        <w:t>Bancard’s</w:t>
      </w:r>
      <w:proofErr w:type="spellEnd"/>
      <w:r w:rsidRPr="00D571C4">
        <w:rPr>
          <w:rFonts w:ascii="Arial" w:eastAsia="Times New Roman" w:hAnsi="Arial" w:cs="Arial"/>
          <w:color w:val="222222"/>
        </w:rPr>
        <w:t xml:space="preserve"> community bank issuers generated nearly $32 billion in sales volume in 2020 and are ranked collectively as the 24th largest credit card portfolio and 10th largest debit portfolio in the United States. ICBA </w:t>
      </w:r>
      <w:proofErr w:type="spellStart"/>
      <w:r w:rsidRPr="00D571C4">
        <w:rPr>
          <w:rFonts w:ascii="Arial" w:eastAsia="Times New Roman" w:hAnsi="Arial" w:cs="Arial"/>
          <w:color w:val="222222"/>
        </w:rPr>
        <w:t>Bancard</w:t>
      </w:r>
      <w:proofErr w:type="spellEnd"/>
      <w:r w:rsidRPr="00D571C4">
        <w:rPr>
          <w:rFonts w:ascii="Arial" w:eastAsia="Times New Roman" w:hAnsi="Arial" w:cs="Arial"/>
          <w:color w:val="222222"/>
        </w:rPr>
        <w:t xml:space="preserve"> enables thousands of community banks to provide competitive credit card, debit card, and payment processing solutions. The company also provides exclusive services to issuers including its Fraud Loss Protection Plan, marketing support, and product education. For more information, visit </w:t>
      </w:r>
      <w:hyperlink r:id="rId13" w:history="1">
        <w:r w:rsidRPr="00D571C4">
          <w:rPr>
            <w:rStyle w:val="Hyperlink"/>
            <w:rFonts w:ascii="Arial" w:eastAsia="Times New Roman" w:hAnsi="Arial" w:cs="Arial"/>
          </w:rPr>
          <w:t>www.icbabancard.org</w:t>
        </w:r>
      </w:hyperlink>
      <w:r w:rsidRPr="00D571C4">
        <w:rPr>
          <w:rFonts w:ascii="Arial" w:eastAsia="Times New Roman" w:hAnsi="Arial" w:cs="Arial"/>
          <w:color w:val="222222"/>
        </w:rPr>
        <w:t>.</w:t>
      </w:r>
    </w:p>
    <w:p w14:paraId="56D07751" w14:textId="388DB904" w:rsidR="00146200" w:rsidRPr="00146200" w:rsidRDefault="00146200" w:rsidP="00146200">
      <w:pPr>
        <w:shd w:val="clear" w:color="auto" w:fill="FFFFFF"/>
        <w:spacing w:after="0" w:line="360" w:lineRule="auto"/>
        <w:jc w:val="both"/>
        <w:rPr>
          <w:rFonts w:ascii="Arial" w:eastAsia="Times New Roman" w:hAnsi="Arial" w:cs="Arial"/>
          <w:color w:val="222222"/>
        </w:rPr>
      </w:pPr>
    </w:p>
    <w:p w14:paraId="451562A0" w14:textId="1D6F6DB5" w:rsidR="00401408" w:rsidRPr="00146200" w:rsidRDefault="00FA5BC0" w:rsidP="00146200">
      <w:pPr>
        <w:shd w:val="clear" w:color="auto" w:fill="FFFFFF"/>
        <w:spacing w:after="0" w:line="360" w:lineRule="auto"/>
        <w:jc w:val="both"/>
        <w:rPr>
          <w:rFonts w:ascii="Arial" w:eastAsia="Times New Roman" w:hAnsi="Arial" w:cs="Arial"/>
          <w:color w:val="222222"/>
        </w:rPr>
      </w:pPr>
      <w:r w:rsidRPr="00146200">
        <w:rPr>
          <w:rFonts w:ascii="Arial" w:eastAsia="Arial" w:hAnsi="Arial" w:cs="Arial"/>
          <w:b/>
        </w:rPr>
        <w:t>About Finzly</w:t>
      </w:r>
    </w:p>
    <w:p w14:paraId="7475FF18" w14:textId="763240C8" w:rsidR="00884A74" w:rsidRPr="00146200" w:rsidRDefault="00FA5BC0">
      <w:pPr>
        <w:spacing w:after="0" w:line="360" w:lineRule="auto"/>
        <w:rPr>
          <w:rFonts w:ascii="Arial" w:eastAsia="Arial" w:hAnsi="Arial" w:cs="Arial"/>
        </w:rPr>
      </w:pPr>
      <w:r w:rsidRPr="00146200">
        <w:rPr>
          <w:rFonts w:ascii="Arial" w:eastAsia="Arial" w:hAnsi="Arial" w:cs="Arial"/>
        </w:rPr>
        <w:t xml:space="preserve">Finzly connects financial institutions with customers through a modern digital banking experience and an efficient, real-time payment services hub. Freeing financial institutions from core system limitations, Finzly’s open, cloud-based bank operating system, BankOS, enables transformation and innovation at the speed of fintech. With freedom to adopt solutions from Finzly and third parties of choice, financial institutions can implement apps in three simple steps – subscribe, try and launch. Serving customers across North America, Finzly has been modernizing international banking and treasury management solutions since 2012. For more information, visit </w:t>
      </w:r>
      <w:hyperlink r:id="rId14">
        <w:r w:rsidRPr="00146200">
          <w:rPr>
            <w:rFonts w:ascii="Arial" w:eastAsia="Arial" w:hAnsi="Arial" w:cs="Arial"/>
            <w:color w:val="0000FF"/>
            <w:u w:val="single"/>
          </w:rPr>
          <w:t>www.finzly.com</w:t>
        </w:r>
      </w:hyperlink>
      <w:r w:rsidRPr="00146200">
        <w:rPr>
          <w:rFonts w:ascii="Arial" w:eastAsia="Arial" w:hAnsi="Arial" w:cs="Arial"/>
        </w:rPr>
        <w:t>.</w:t>
      </w:r>
    </w:p>
    <w:p w14:paraId="00EC3D6F" w14:textId="77777777" w:rsidR="00401408" w:rsidRDefault="00401408">
      <w:pPr>
        <w:spacing w:after="0" w:line="360" w:lineRule="auto"/>
        <w:rPr>
          <w:rFonts w:ascii="Arial" w:eastAsia="Arial" w:hAnsi="Arial" w:cs="Arial"/>
          <w:sz w:val="20"/>
          <w:szCs w:val="20"/>
        </w:rPr>
      </w:pPr>
    </w:p>
    <w:p w14:paraId="55A9C3CA" w14:textId="77777777" w:rsidR="002C6CCC" w:rsidRDefault="002C6CCC">
      <w:pPr>
        <w:spacing w:after="0"/>
        <w:jc w:val="center"/>
        <w:rPr>
          <w:rFonts w:ascii="Arial" w:eastAsia="Arial" w:hAnsi="Arial" w:cs="Arial"/>
          <w:sz w:val="20"/>
          <w:szCs w:val="20"/>
        </w:rPr>
      </w:pPr>
    </w:p>
    <w:p w14:paraId="6717CE15" w14:textId="76CA9B03" w:rsidR="00884A74" w:rsidRDefault="00FA5BC0">
      <w:pPr>
        <w:spacing w:after="0"/>
        <w:jc w:val="center"/>
        <w:rPr>
          <w:rFonts w:ascii="Arial" w:eastAsia="Arial" w:hAnsi="Arial" w:cs="Arial"/>
          <w:sz w:val="20"/>
          <w:szCs w:val="20"/>
        </w:rPr>
      </w:pPr>
      <w:r>
        <w:rPr>
          <w:rFonts w:ascii="Arial" w:eastAsia="Arial" w:hAnsi="Arial" w:cs="Arial"/>
          <w:sz w:val="20"/>
          <w:szCs w:val="20"/>
        </w:rPr>
        <w:t>###</w:t>
      </w:r>
    </w:p>
    <w:p w14:paraId="1749E9C7" w14:textId="77777777" w:rsidR="00884A74" w:rsidRDefault="00884A74">
      <w:pPr>
        <w:spacing w:after="0"/>
        <w:jc w:val="center"/>
        <w:rPr>
          <w:rFonts w:ascii="Arial" w:eastAsia="Arial" w:hAnsi="Arial" w:cs="Arial"/>
          <w:sz w:val="20"/>
          <w:szCs w:val="20"/>
        </w:rPr>
      </w:pPr>
    </w:p>
    <w:sectPr w:rsidR="00884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07B3"/>
    <w:multiLevelType w:val="hybridMultilevel"/>
    <w:tmpl w:val="B76E6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3515D"/>
    <w:multiLevelType w:val="hybridMultilevel"/>
    <w:tmpl w:val="516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B09FA"/>
    <w:multiLevelType w:val="multilevel"/>
    <w:tmpl w:val="CAA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74"/>
    <w:rsid w:val="00021618"/>
    <w:rsid w:val="00082FD8"/>
    <w:rsid w:val="000A0BEF"/>
    <w:rsid w:val="000C5E63"/>
    <w:rsid w:val="000E58EF"/>
    <w:rsid w:val="00146200"/>
    <w:rsid w:val="002031DB"/>
    <w:rsid w:val="002105A6"/>
    <w:rsid w:val="002155B4"/>
    <w:rsid w:val="002C6CCC"/>
    <w:rsid w:val="00327CB6"/>
    <w:rsid w:val="00365D37"/>
    <w:rsid w:val="003F061E"/>
    <w:rsid w:val="00401408"/>
    <w:rsid w:val="004A1147"/>
    <w:rsid w:val="004B4251"/>
    <w:rsid w:val="004D67D5"/>
    <w:rsid w:val="005368D0"/>
    <w:rsid w:val="0054387C"/>
    <w:rsid w:val="0057702E"/>
    <w:rsid w:val="00594CEF"/>
    <w:rsid w:val="006253FB"/>
    <w:rsid w:val="00645153"/>
    <w:rsid w:val="006B20EA"/>
    <w:rsid w:val="006C0D46"/>
    <w:rsid w:val="006E3503"/>
    <w:rsid w:val="00784457"/>
    <w:rsid w:val="007B1249"/>
    <w:rsid w:val="007D160A"/>
    <w:rsid w:val="007D7EE3"/>
    <w:rsid w:val="007E23D9"/>
    <w:rsid w:val="00824BBC"/>
    <w:rsid w:val="00857322"/>
    <w:rsid w:val="00857C73"/>
    <w:rsid w:val="00884A74"/>
    <w:rsid w:val="008E641A"/>
    <w:rsid w:val="008F711E"/>
    <w:rsid w:val="009621F4"/>
    <w:rsid w:val="0096453F"/>
    <w:rsid w:val="0099737E"/>
    <w:rsid w:val="009C2699"/>
    <w:rsid w:val="009D7F8F"/>
    <w:rsid w:val="009E71D5"/>
    <w:rsid w:val="00A01690"/>
    <w:rsid w:val="00A11121"/>
    <w:rsid w:val="00A310A5"/>
    <w:rsid w:val="00A45ED9"/>
    <w:rsid w:val="00A64B2E"/>
    <w:rsid w:val="00A64B32"/>
    <w:rsid w:val="00A860EA"/>
    <w:rsid w:val="00AA2552"/>
    <w:rsid w:val="00AC1D52"/>
    <w:rsid w:val="00AE6505"/>
    <w:rsid w:val="00B16D07"/>
    <w:rsid w:val="00B6590B"/>
    <w:rsid w:val="00B67781"/>
    <w:rsid w:val="00BA3C28"/>
    <w:rsid w:val="00C00BD5"/>
    <w:rsid w:val="00C13F3F"/>
    <w:rsid w:val="00C37150"/>
    <w:rsid w:val="00C47D1D"/>
    <w:rsid w:val="00CB4CCE"/>
    <w:rsid w:val="00CE1301"/>
    <w:rsid w:val="00D0319E"/>
    <w:rsid w:val="00D06E5A"/>
    <w:rsid w:val="00D1220E"/>
    <w:rsid w:val="00D571C4"/>
    <w:rsid w:val="00D60CBC"/>
    <w:rsid w:val="00DA4992"/>
    <w:rsid w:val="00DD12AF"/>
    <w:rsid w:val="00E00621"/>
    <w:rsid w:val="00E246B5"/>
    <w:rsid w:val="00E410B2"/>
    <w:rsid w:val="00E564EB"/>
    <w:rsid w:val="00E77EDA"/>
    <w:rsid w:val="00E83723"/>
    <w:rsid w:val="00E901AF"/>
    <w:rsid w:val="00E94C07"/>
    <w:rsid w:val="00F0205D"/>
    <w:rsid w:val="00F376D6"/>
    <w:rsid w:val="00F75077"/>
    <w:rsid w:val="00FA4AFE"/>
    <w:rsid w:val="00FA5BC0"/>
    <w:rsid w:val="5FEFCD96"/>
    <w:rsid w:val="65C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ABE"/>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unhideWhenUsed/>
    <w:rsid w:val="007A114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2BD1"/>
    <w:rPr>
      <w:sz w:val="16"/>
      <w:szCs w:val="16"/>
    </w:rPr>
  </w:style>
  <w:style w:type="paragraph" w:styleId="CommentText">
    <w:name w:val="annotation text"/>
    <w:basedOn w:val="Normal"/>
    <w:link w:val="CommentTextChar"/>
    <w:uiPriority w:val="99"/>
    <w:unhideWhenUsed/>
    <w:rsid w:val="003C2BD1"/>
    <w:pPr>
      <w:spacing w:line="240" w:lineRule="auto"/>
    </w:pPr>
    <w:rPr>
      <w:sz w:val="20"/>
      <w:szCs w:val="20"/>
    </w:rPr>
  </w:style>
  <w:style w:type="character" w:customStyle="1" w:styleId="CommentTextChar">
    <w:name w:val="Comment Text Char"/>
    <w:basedOn w:val="DefaultParagraphFont"/>
    <w:link w:val="CommentText"/>
    <w:uiPriority w:val="99"/>
    <w:rsid w:val="003C2BD1"/>
    <w:rPr>
      <w:sz w:val="20"/>
      <w:szCs w:val="20"/>
    </w:rPr>
  </w:style>
  <w:style w:type="paragraph" w:styleId="CommentSubject">
    <w:name w:val="annotation subject"/>
    <w:basedOn w:val="CommentText"/>
    <w:next w:val="CommentText"/>
    <w:link w:val="CommentSubjectChar"/>
    <w:uiPriority w:val="99"/>
    <w:semiHidden/>
    <w:unhideWhenUsed/>
    <w:rsid w:val="003C2BD1"/>
    <w:rPr>
      <w:b/>
      <w:bCs/>
    </w:rPr>
  </w:style>
  <w:style w:type="character" w:customStyle="1" w:styleId="CommentSubjectChar">
    <w:name w:val="Comment Subject Char"/>
    <w:basedOn w:val="CommentTextChar"/>
    <w:link w:val="CommentSubject"/>
    <w:uiPriority w:val="99"/>
    <w:semiHidden/>
    <w:rsid w:val="003C2BD1"/>
    <w:rPr>
      <w:b/>
      <w:bCs/>
      <w:sz w:val="20"/>
      <w:szCs w:val="20"/>
    </w:rPr>
  </w:style>
  <w:style w:type="paragraph" w:styleId="BalloonText">
    <w:name w:val="Balloon Text"/>
    <w:basedOn w:val="Normal"/>
    <w:link w:val="BalloonTextChar"/>
    <w:uiPriority w:val="99"/>
    <w:semiHidden/>
    <w:unhideWhenUsed/>
    <w:rsid w:val="004A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26"/>
    <w:rPr>
      <w:rFonts w:ascii="Segoe UI" w:hAnsi="Segoe UI" w:cs="Segoe UI"/>
      <w:sz w:val="18"/>
      <w:szCs w:val="18"/>
    </w:rPr>
  </w:style>
  <w:style w:type="character" w:styleId="FollowedHyperlink">
    <w:name w:val="FollowedHyperlink"/>
    <w:basedOn w:val="DefaultParagraphFont"/>
    <w:uiPriority w:val="99"/>
    <w:semiHidden/>
    <w:unhideWhenUsed/>
    <w:rsid w:val="00A70117"/>
    <w:rPr>
      <w:color w:val="800080" w:themeColor="followedHyperlink"/>
      <w:u w:val="single"/>
    </w:rPr>
  </w:style>
  <w:style w:type="character" w:styleId="Strong">
    <w:name w:val="Strong"/>
    <w:basedOn w:val="DefaultParagraphFont"/>
    <w:uiPriority w:val="22"/>
    <w:qFormat/>
    <w:rsid w:val="00A11121"/>
    <w:rPr>
      <w:b/>
      <w:bCs/>
    </w:rPr>
  </w:style>
  <w:style w:type="character" w:customStyle="1" w:styleId="apple-converted-space">
    <w:name w:val="apple-converted-space"/>
    <w:basedOn w:val="DefaultParagraphFont"/>
    <w:rsid w:val="00A11121"/>
  </w:style>
  <w:style w:type="paragraph" w:styleId="ListParagraph">
    <w:name w:val="List Paragraph"/>
    <w:basedOn w:val="Normal"/>
    <w:uiPriority w:val="34"/>
    <w:qFormat/>
    <w:rsid w:val="00B16D07"/>
    <w:pPr>
      <w:spacing w:after="0" w:line="240" w:lineRule="auto"/>
      <w:ind w:left="720"/>
    </w:pPr>
    <w:rPr>
      <w:rFonts w:eastAsiaTheme="minorHAnsi" w:cs="Times New Roman"/>
    </w:rPr>
  </w:style>
  <w:style w:type="character" w:customStyle="1" w:styleId="normaltextrun">
    <w:name w:val="normaltextrun"/>
    <w:basedOn w:val="DefaultParagraphFont"/>
    <w:rsid w:val="00B16D07"/>
  </w:style>
  <w:style w:type="character" w:customStyle="1" w:styleId="eop">
    <w:name w:val="eop"/>
    <w:basedOn w:val="DefaultParagraphFont"/>
    <w:rsid w:val="00B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8277">
      <w:bodyDiv w:val="1"/>
      <w:marLeft w:val="0"/>
      <w:marRight w:val="0"/>
      <w:marTop w:val="0"/>
      <w:marBottom w:val="0"/>
      <w:divBdr>
        <w:top w:val="none" w:sz="0" w:space="0" w:color="auto"/>
        <w:left w:val="none" w:sz="0" w:space="0" w:color="auto"/>
        <w:bottom w:val="none" w:sz="0" w:space="0" w:color="auto"/>
        <w:right w:val="none" w:sz="0" w:space="0" w:color="auto"/>
      </w:divBdr>
    </w:div>
    <w:div w:id="225188956">
      <w:bodyDiv w:val="1"/>
      <w:marLeft w:val="0"/>
      <w:marRight w:val="0"/>
      <w:marTop w:val="0"/>
      <w:marBottom w:val="0"/>
      <w:divBdr>
        <w:top w:val="none" w:sz="0" w:space="0" w:color="auto"/>
        <w:left w:val="none" w:sz="0" w:space="0" w:color="auto"/>
        <w:bottom w:val="none" w:sz="0" w:space="0" w:color="auto"/>
        <w:right w:val="none" w:sz="0" w:space="0" w:color="auto"/>
      </w:divBdr>
    </w:div>
    <w:div w:id="292443491">
      <w:bodyDiv w:val="1"/>
      <w:marLeft w:val="0"/>
      <w:marRight w:val="0"/>
      <w:marTop w:val="0"/>
      <w:marBottom w:val="0"/>
      <w:divBdr>
        <w:top w:val="none" w:sz="0" w:space="0" w:color="auto"/>
        <w:left w:val="none" w:sz="0" w:space="0" w:color="auto"/>
        <w:bottom w:val="none" w:sz="0" w:space="0" w:color="auto"/>
        <w:right w:val="none" w:sz="0" w:space="0" w:color="auto"/>
      </w:divBdr>
    </w:div>
    <w:div w:id="715004393">
      <w:bodyDiv w:val="1"/>
      <w:marLeft w:val="0"/>
      <w:marRight w:val="0"/>
      <w:marTop w:val="0"/>
      <w:marBottom w:val="0"/>
      <w:divBdr>
        <w:top w:val="none" w:sz="0" w:space="0" w:color="auto"/>
        <w:left w:val="none" w:sz="0" w:space="0" w:color="auto"/>
        <w:bottom w:val="none" w:sz="0" w:space="0" w:color="auto"/>
        <w:right w:val="none" w:sz="0" w:space="0" w:color="auto"/>
      </w:divBdr>
    </w:div>
    <w:div w:id="928778231">
      <w:bodyDiv w:val="1"/>
      <w:marLeft w:val="0"/>
      <w:marRight w:val="0"/>
      <w:marTop w:val="0"/>
      <w:marBottom w:val="0"/>
      <w:divBdr>
        <w:top w:val="none" w:sz="0" w:space="0" w:color="auto"/>
        <w:left w:val="none" w:sz="0" w:space="0" w:color="auto"/>
        <w:bottom w:val="none" w:sz="0" w:space="0" w:color="auto"/>
        <w:right w:val="none" w:sz="0" w:space="0" w:color="auto"/>
      </w:divBdr>
    </w:div>
    <w:div w:id="940533153">
      <w:bodyDiv w:val="1"/>
      <w:marLeft w:val="0"/>
      <w:marRight w:val="0"/>
      <w:marTop w:val="0"/>
      <w:marBottom w:val="0"/>
      <w:divBdr>
        <w:top w:val="none" w:sz="0" w:space="0" w:color="auto"/>
        <w:left w:val="none" w:sz="0" w:space="0" w:color="auto"/>
        <w:bottom w:val="none" w:sz="0" w:space="0" w:color="auto"/>
        <w:right w:val="none" w:sz="0" w:space="0" w:color="auto"/>
      </w:divBdr>
    </w:div>
    <w:div w:id="952175459">
      <w:bodyDiv w:val="1"/>
      <w:marLeft w:val="0"/>
      <w:marRight w:val="0"/>
      <w:marTop w:val="0"/>
      <w:marBottom w:val="0"/>
      <w:divBdr>
        <w:top w:val="none" w:sz="0" w:space="0" w:color="auto"/>
        <w:left w:val="none" w:sz="0" w:space="0" w:color="auto"/>
        <w:bottom w:val="none" w:sz="0" w:space="0" w:color="auto"/>
        <w:right w:val="none" w:sz="0" w:space="0" w:color="auto"/>
      </w:divBdr>
    </w:div>
    <w:div w:id="1012534555">
      <w:bodyDiv w:val="1"/>
      <w:marLeft w:val="0"/>
      <w:marRight w:val="0"/>
      <w:marTop w:val="0"/>
      <w:marBottom w:val="0"/>
      <w:divBdr>
        <w:top w:val="none" w:sz="0" w:space="0" w:color="auto"/>
        <w:left w:val="none" w:sz="0" w:space="0" w:color="auto"/>
        <w:bottom w:val="none" w:sz="0" w:space="0" w:color="auto"/>
        <w:right w:val="none" w:sz="0" w:space="0" w:color="auto"/>
      </w:divBdr>
    </w:div>
    <w:div w:id="1380086673">
      <w:bodyDiv w:val="1"/>
      <w:marLeft w:val="0"/>
      <w:marRight w:val="0"/>
      <w:marTop w:val="0"/>
      <w:marBottom w:val="0"/>
      <w:divBdr>
        <w:top w:val="none" w:sz="0" w:space="0" w:color="auto"/>
        <w:left w:val="none" w:sz="0" w:space="0" w:color="auto"/>
        <w:bottom w:val="none" w:sz="0" w:space="0" w:color="auto"/>
        <w:right w:val="none" w:sz="0" w:space="0" w:color="auto"/>
      </w:divBdr>
    </w:div>
    <w:div w:id="1601795031">
      <w:bodyDiv w:val="1"/>
      <w:marLeft w:val="0"/>
      <w:marRight w:val="0"/>
      <w:marTop w:val="0"/>
      <w:marBottom w:val="0"/>
      <w:divBdr>
        <w:top w:val="none" w:sz="0" w:space="0" w:color="auto"/>
        <w:left w:val="none" w:sz="0" w:space="0" w:color="auto"/>
        <w:bottom w:val="none" w:sz="0" w:space="0" w:color="auto"/>
        <w:right w:val="none" w:sz="0" w:space="0" w:color="auto"/>
      </w:divBdr>
    </w:div>
    <w:div w:id="1780907963">
      <w:bodyDiv w:val="1"/>
      <w:marLeft w:val="0"/>
      <w:marRight w:val="0"/>
      <w:marTop w:val="0"/>
      <w:marBottom w:val="0"/>
      <w:divBdr>
        <w:top w:val="none" w:sz="0" w:space="0" w:color="auto"/>
        <w:left w:val="none" w:sz="0" w:space="0" w:color="auto"/>
        <w:bottom w:val="none" w:sz="0" w:space="0" w:color="auto"/>
        <w:right w:val="none" w:sz="0" w:space="0" w:color="auto"/>
      </w:divBdr>
    </w:div>
    <w:div w:id="20123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babanc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zly.com/payment-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zl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inz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2HIo9d3kC1rI3dce+lamewEIyWQ==">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</go:docsCustomData>
</go:gDocsCustomXmlDataStorage>
</file>

<file path=customXml/itemProps1.xml><?xml version="1.0" encoding="utf-8"?>
<ds:datastoreItem xmlns:ds="http://schemas.openxmlformats.org/officeDocument/2006/customXml" ds:itemID="{EB0D21B2-7B6D-4B84-8549-EA836036F66C}">
  <ds:schemaRefs>
    <ds:schemaRef ds:uri="http://schemas.microsoft.com/sharepoint/v3/contenttype/forms"/>
  </ds:schemaRefs>
</ds:datastoreItem>
</file>

<file path=customXml/itemProps2.xml><?xml version="1.0" encoding="utf-8"?>
<ds:datastoreItem xmlns:ds="http://schemas.openxmlformats.org/officeDocument/2006/customXml" ds:itemID="{87C26BB1-199F-4CFF-B0EF-EE86D73F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2D017-5F13-4E76-A684-828A3FBD98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Ariana Luke</dc:creator>
  <cp:lastModifiedBy>Augusta Bauknight</cp:lastModifiedBy>
  <cp:revision>4</cp:revision>
  <dcterms:created xsi:type="dcterms:W3CDTF">2021-07-07T20:44:00Z</dcterms:created>
  <dcterms:modified xsi:type="dcterms:W3CDTF">2021-07-12T13:51:00Z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_NewReviewCycle">
    <vt:lpwstr/>
  </property>
</Properties>
</file>