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097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8097"/>
      </w:tblGrid>
      <w:tr w:rsidR="00756B5A" w14:paraId="6E2AFDA8" w14:textId="77777777" w:rsidTr="001E505D">
        <w:trPr>
          <w:trHeight w:val="228"/>
        </w:trPr>
        <w:tc>
          <w:tcPr>
            <w:tcW w:w="8097" w:type="dxa"/>
            <w:tcBorders>
              <w:bottom w:val="single" w:sz="8" w:space="0" w:color="CCCCCC" w:themeColor="background2"/>
            </w:tcBorders>
          </w:tcPr>
          <w:p w14:paraId="225691FB" w14:textId="77777777" w:rsidR="00756B5A" w:rsidRPr="000B3870" w:rsidRDefault="007772B2" w:rsidP="001E505D">
            <w:pPr>
              <w:pStyle w:val="CompanyName"/>
              <w:rPr>
                <w:color w:val="007A37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9B21446" wp14:editId="7FC09EF0">
                  <wp:extent cx="2420794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enStateCU_HOR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579" cy="69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B5A" w14:paraId="20F27BB8" w14:textId="77777777" w:rsidTr="001E505D">
        <w:trPr>
          <w:trHeight w:hRule="exact" w:val="257"/>
        </w:trPr>
        <w:tc>
          <w:tcPr>
            <w:tcW w:w="8097" w:type="dxa"/>
            <w:tcBorders>
              <w:top w:val="single" w:sz="8" w:space="0" w:color="CCCCCC" w:themeColor="background2"/>
              <w:bottom w:val="nil"/>
            </w:tcBorders>
          </w:tcPr>
          <w:p w14:paraId="02520E12" w14:textId="77777777" w:rsidR="00756B5A" w:rsidRDefault="00756B5A">
            <w:pPr>
              <w:pStyle w:val="Header"/>
            </w:pPr>
          </w:p>
        </w:tc>
      </w:tr>
    </w:tbl>
    <w:p w14:paraId="1180F7A6" w14:textId="26A860BB" w:rsidR="00756B5A" w:rsidRDefault="009C2142" w:rsidP="001E505D">
      <w:pPr>
        <w:pStyle w:val="Heading1"/>
      </w:pPr>
      <w:r>
        <w:t>Media Release</w:t>
      </w:r>
    </w:p>
    <w:p w14:paraId="4959FF2A" w14:textId="030ED593" w:rsidR="00756B5A" w:rsidRPr="007772B2" w:rsidRDefault="009C2142" w:rsidP="000B3870">
      <w:pPr>
        <w:pStyle w:val="ContactInfo"/>
        <w:spacing w:before="0" w:after="0"/>
        <w:rPr>
          <w:sz w:val="24"/>
          <w:szCs w:val="24"/>
        </w:rPr>
      </w:pPr>
      <w:r>
        <w:rPr>
          <w:sz w:val="24"/>
          <w:szCs w:val="24"/>
        </w:rPr>
        <w:br/>
        <w:t>Contact</w:t>
      </w:r>
      <w:r w:rsidR="008678F9" w:rsidRPr="007772B2">
        <w:rPr>
          <w:sz w:val="24"/>
          <w:szCs w:val="24"/>
        </w:rPr>
        <w:t xml:space="preserve">: </w:t>
      </w:r>
      <w:r w:rsidR="00C62E0D">
        <w:rPr>
          <w:sz w:val="24"/>
          <w:szCs w:val="24"/>
        </w:rPr>
        <w:t xml:space="preserve"> </w:t>
      </w:r>
      <w:r w:rsidR="00B9694E">
        <w:rPr>
          <w:sz w:val="24"/>
          <w:szCs w:val="24"/>
        </w:rPr>
        <w:t xml:space="preserve">Jim Kelly / Chief Marketing Officer </w:t>
      </w:r>
    </w:p>
    <w:p w14:paraId="1C9EC8EC" w14:textId="47EDA63A" w:rsidR="001E505D" w:rsidRPr="007772B2" w:rsidRDefault="001E505D" w:rsidP="001E505D">
      <w:pPr>
        <w:pStyle w:val="ContactInfo"/>
        <w:spacing w:before="0" w:after="0"/>
        <w:rPr>
          <w:sz w:val="24"/>
          <w:szCs w:val="24"/>
        </w:rPr>
      </w:pPr>
      <w:r w:rsidRPr="007772B2">
        <w:rPr>
          <w:sz w:val="24"/>
          <w:szCs w:val="24"/>
        </w:rPr>
        <w:t>RE:</w:t>
      </w:r>
      <w:r w:rsidR="00C62E0D">
        <w:rPr>
          <w:sz w:val="24"/>
          <w:szCs w:val="24"/>
        </w:rPr>
        <w:t xml:space="preserve"> </w:t>
      </w:r>
      <w:r w:rsidR="005B76E4">
        <w:rPr>
          <w:sz w:val="24"/>
          <w:szCs w:val="24"/>
        </w:rPr>
        <w:t>GreenState Investment to Help Close Iowa’s Racial Homeownership Gap, One of the Worst in the US</w:t>
      </w:r>
    </w:p>
    <w:p w14:paraId="128ED756" w14:textId="73E7F745" w:rsidR="001E505D" w:rsidRPr="007772B2" w:rsidRDefault="001E505D" w:rsidP="001E505D">
      <w:pPr>
        <w:pStyle w:val="ContactInfo"/>
        <w:spacing w:before="0" w:after="0"/>
        <w:rPr>
          <w:sz w:val="24"/>
          <w:szCs w:val="24"/>
        </w:rPr>
      </w:pPr>
      <w:r w:rsidRPr="007772B2">
        <w:rPr>
          <w:sz w:val="24"/>
          <w:szCs w:val="24"/>
        </w:rPr>
        <w:t>Date</w:t>
      </w:r>
      <w:r w:rsidR="00C62E0D">
        <w:rPr>
          <w:sz w:val="24"/>
          <w:szCs w:val="24"/>
        </w:rPr>
        <w:t>: January 25, 2021</w:t>
      </w:r>
    </w:p>
    <w:p w14:paraId="0CE7AA4E" w14:textId="77777777" w:rsidR="00756B5A" w:rsidRDefault="008678F9" w:rsidP="001E505D">
      <w:pPr>
        <w:pStyle w:val="ContactInfo"/>
        <w:pBdr>
          <w:bottom w:val="single" w:sz="6" w:space="1" w:color="auto"/>
        </w:pBdr>
        <w:spacing w:before="0" w:after="0"/>
      </w:pPr>
      <w:r w:rsidRPr="00352BAE">
        <w:rPr>
          <w:color w:val="FFFFFF" w:themeColor="background1"/>
        </w:rPr>
        <w:t xml:space="preserve">CC: </w:t>
      </w:r>
      <w:r w:rsidR="001E505D">
        <w:tab/>
      </w:r>
    </w:p>
    <w:p w14:paraId="43FF4A7A" w14:textId="42973703" w:rsidR="00DB7EC6" w:rsidRDefault="00C848B7" w:rsidP="00F535DA">
      <w:r>
        <w:br/>
      </w:r>
      <w:r w:rsidR="0005696A">
        <w:t>GreenState Credit Union announced it</w:t>
      </w:r>
      <w:r w:rsidR="00040724">
        <w:t xml:space="preserve">s Board of Directors has set the goal of </w:t>
      </w:r>
      <w:r w:rsidR="005B76E4">
        <w:t>investing $500</w:t>
      </w:r>
      <w:r w:rsidR="00770CE4">
        <w:t>,000,000</w:t>
      </w:r>
      <w:r w:rsidR="005B76E4">
        <w:t xml:space="preserve"> over the next decade </w:t>
      </w:r>
      <w:r w:rsidR="00417D27">
        <w:t>to</w:t>
      </w:r>
      <w:r w:rsidR="005B76E4">
        <w:t xml:space="preserve"> </w:t>
      </w:r>
      <w:r w:rsidR="00417D27">
        <w:t xml:space="preserve">help </w:t>
      </w:r>
      <w:r w:rsidR="005B76E4">
        <w:t xml:space="preserve">close Iowa’s racial homeownership </w:t>
      </w:r>
      <w:r w:rsidR="00417D27">
        <w:t>gap, which is the sixth-largest such gap in the United States</w:t>
      </w:r>
      <w:r w:rsidR="00DC2E2A">
        <w:t xml:space="preserve">, according to </w:t>
      </w:r>
      <w:r w:rsidR="00A947E4">
        <w:t xml:space="preserve">a 2019 </w:t>
      </w:r>
      <w:r w:rsidR="00193B0F">
        <w:t>r</w:t>
      </w:r>
      <w:r w:rsidR="00A947E4">
        <w:t>eport</w:t>
      </w:r>
      <w:r w:rsidR="00193B0F">
        <w:t xml:space="preserve"> by a University of Iowa professor</w:t>
      </w:r>
      <w:r w:rsidR="000020A4">
        <w:t>.</w:t>
      </w:r>
      <w:r w:rsidR="00A947E4">
        <w:rPr>
          <w:rStyle w:val="FootnoteReference"/>
        </w:rPr>
        <w:footnoteReference w:id="1"/>
      </w:r>
      <w:r w:rsidR="00193B0F">
        <w:t xml:space="preserve"> </w:t>
      </w:r>
      <w:r w:rsidR="0033101A">
        <w:t xml:space="preserve">This investment </w:t>
      </w:r>
      <w:r w:rsidR="002336D0">
        <w:t>includes</w:t>
      </w:r>
      <w:r w:rsidR="0033101A">
        <w:t xml:space="preserve"> targeted mortgage lending </w:t>
      </w:r>
      <w:r w:rsidR="00535089">
        <w:t xml:space="preserve">with the possibility of closing cost </w:t>
      </w:r>
      <w:r w:rsidR="00770CE4">
        <w:t>or</w:t>
      </w:r>
      <w:r w:rsidR="00535089">
        <w:t xml:space="preserve"> down payment assistance for qualifying members.</w:t>
      </w:r>
      <w:r>
        <w:t xml:space="preserve"> </w:t>
      </w:r>
      <w:r w:rsidR="00760CDE">
        <w:t xml:space="preserve">Nationally, the </w:t>
      </w:r>
      <w:r w:rsidR="009A57F6">
        <w:t xml:space="preserve">racial homeownership gap between white and black households is larger than it was when Dr. Martin Luther King Jr. – whose life we all celebrated this week – </w:t>
      </w:r>
      <w:r w:rsidR="004B3392">
        <w:t>was assassinated in 1968</w:t>
      </w:r>
      <w:r w:rsidR="0093179E">
        <w:t>.</w:t>
      </w:r>
      <w:r w:rsidR="000020A4">
        <w:rPr>
          <w:rStyle w:val="FootnoteReference"/>
        </w:rPr>
        <w:footnoteReference w:id="2"/>
      </w:r>
    </w:p>
    <w:p w14:paraId="3C9F2E9E" w14:textId="030C9801" w:rsidR="0002086C" w:rsidRDefault="00F535DA" w:rsidP="00193B0F">
      <w:r>
        <w:t>Jeff Disterhoft, GreenState CEO, said: “</w:t>
      </w:r>
      <w:r w:rsidR="00DD3B34">
        <w:t>S</w:t>
      </w:r>
      <w:r w:rsidR="006B5FD7">
        <w:t xml:space="preserve">ince </w:t>
      </w:r>
      <w:r w:rsidR="00691069">
        <w:t>George Floyd’s death</w:t>
      </w:r>
      <w:r w:rsidR="006B5FD7">
        <w:t xml:space="preserve"> last summer, our organization has been </w:t>
      </w:r>
      <w:r w:rsidR="00B835A5">
        <w:t xml:space="preserve">reflecting on continued racial inequities in the communities we serve and </w:t>
      </w:r>
      <w:r w:rsidR="00492781">
        <w:t xml:space="preserve">the role we can play to build a better </w:t>
      </w:r>
      <w:r w:rsidR="00770CE4">
        <w:t xml:space="preserve">society. Our ‘Community </w:t>
      </w:r>
      <w:r w:rsidR="001A753F">
        <w:t>Investment</w:t>
      </w:r>
      <w:r w:rsidR="00770CE4">
        <w:t xml:space="preserve"> Statement’ sets a goal of investing $500M </w:t>
      </w:r>
      <w:r w:rsidR="002336D0">
        <w:t>over the next decade in helping to close Iowa’s racial homeownership gap</w:t>
      </w:r>
      <w:r w:rsidR="00081039">
        <w:t xml:space="preserve">. </w:t>
      </w:r>
      <w:r w:rsidR="000E1192">
        <w:t xml:space="preserve">To be sure, we will continue to lend to Iowans of all races and financial backgrounds. </w:t>
      </w:r>
      <w:r w:rsidR="00366096">
        <w:t xml:space="preserve">While we continue our focus on creating value for all GreenState members, we recognize that as Iowa’s largest credit union, we have a special responsibility to </w:t>
      </w:r>
      <w:r w:rsidR="00844BEE">
        <w:t>address</w:t>
      </w:r>
      <w:r w:rsidR="00366096">
        <w:t xml:space="preserve"> racial inequities</w:t>
      </w:r>
      <w:r w:rsidR="00844BEE">
        <w:t xml:space="preserve"> head on</w:t>
      </w:r>
      <w:r w:rsidR="00366096">
        <w:t>.</w:t>
      </w:r>
      <w:r w:rsidR="00844BEE">
        <w:t>”</w:t>
      </w:r>
    </w:p>
    <w:p w14:paraId="51100A3D" w14:textId="30B4F7A1" w:rsidR="0049287D" w:rsidRDefault="0049287D" w:rsidP="0049287D">
      <w:r>
        <w:t>GreenState’s Community I</w:t>
      </w:r>
      <w:r w:rsidR="001A753F">
        <w:t xml:space="preserve">nvestment </w:t>
      </w:r>
      <w:r>
        <w:t>Statement also includes a $20,000,000 commitment of targeted community investments in three priority areas:</w:t>
      </w:r>
    </w:p>
    <w:p w14:paraId="31EC3BE2" w14:textId="34C3769A" w:rsidR="0049287D" w:rsidRPr="00657690" w:rsidRDefault="0049287D" w:rsidP="0049287D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657690">
        <w:rPr>
          <w:rFonts w:ascii="Calibri Light" w:hAnsi="Calibri Light" w:cs="Calibri Light"/>
        </w:rPr>
        <w:t>$</w:t>
      </w:r>
      <w:r w:rsidR="00EE1A1E" w:rsidRPr="00657690">
        <w:rPr>
          <w:rFonts w:ascii="Calibri Light" w:hAnsi="Calibri Light" w:cs="Calibri Light"/>
        </w:rPr>
        <w:t>9</w:t>
      </w:r>
      <w:r w:rsidRPr="00657690">
        <w:rPr>
          <w:rFonts w:ascii="Calibri Light" w:hAnsi="Calibri Light" w:cs="Calibri Light"/>
        </w:rPr>
        <w:t>M for Racial, Immigrant, and Refugee Equity</w:t>
      </w:r>
    </w:p>
    <w:p w14:paraId="62D1FC49" w14:textId="39055C18" w:rsidR="0049287D" w:rsidRPr="00657690" w:rsidRDefault="00596D29" w:rsidP="0049287D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657690">
        <w:rPr>
          <w:rFonts w:ascii="Calibri Light" w:hAnsi="Calibri Light" w:cs="Calibri Light"/>
        </w:rPr>
        <w:t xml:space="preserve">$6M for Affordable Housing and Financial Inclusion for Every Iowan </w:t>
      </w:r>
    </w:p>
    <w:p w14:paraId="169E8069" w14:textId="34C402BB" w:rsidR="00EE1A1E" w:rsidRPr="00657690" w:rsidRDefault="00596D29" w:rsidP="00EE1A1E">
      <w:pPr>
        <w:pStyle w:val="ListParagraph"/>
        <w:numPr>
          <w:ilvl w:val="0"/>
          <w:numId w:val="24"/>
        </w:numPr>
        <w:rPr>
          <w:rFonts w:ascii="Calibri Light" w:hAnsi="Calibri Light" w:cs="Calibri Light"/>
        </w:rPr>
      </w:pPr>
      <w:r w:rsidRPr="00657690">
        <w:rPr>
          <w:rFonts w:ascii="Calibri Light" w:hAnsi="Calibri Light" w:cs="Calibri Light"/>
        </w:rPr>
        <w:t xml:space="preserve">$5M for </w:t>
      </w:r>
      <w:r w:rsidR="00EE1A1E" w:rsidRPr="00657690">
        <w:rPr>
          <w:rFonts w:ascii="Calibri Light" w:hAnsi="Calibri Light" w:cs="Calibri Light"/>
        </w:rPr>
        <w:t xml:space="preserve">Climate and Environmental Sustainability </w:t>
      </w:r>
    </w:p>
    <w:p w14:paraId="5EA98265" w14:textId="6E298036" w:rsidR="00EE1A1E" w:rsidRDefault="00657690" w:rsidP="00EE1A1E">
      <w:r>
        <w:br/>
        <w:t xml:space="preserve">Disterhoft continued: “We </w:t>
      </w:r>
      <w:r w:rsidR="004321B8">
        <w:t>believe</w:t>
      </w:r>
      <w:r>
        <w:t xml:space="preserve"> these </w:t>
      </w:r>
      <w:r w:rsidR="004321B8">
        <w:t xml:space="preserve">targeted community </w:t>
      </w:r>
      <w:r>
        <w:t xml:space="preserve">investments </w:t>
      </w:r>
      <w:r w:rsidR="004321B8">
        <w:t>will help make our communities stronger</w:t>
      </w:r>
      <w:r w:rsidR="00C848B7">
        <w:t xml:space="preserve"> and </w:t>
      </w:r>
      <w:r w:rsidR="004A0A21">
        <w:t>begin to help close longstanding inequities</w:t>
      </w:r>
      <w:r w:rsidR="00C848B7">
        <w:t>. We look forward to sharing more details about these efforts soon.”</w:t>
      </w:r>
    </w:p>
    <w:sectPr w:rsidR="00EE1A1E" w:rsidSect="00407FF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77FA" w14:textId="77777777" w:rsidR="007745C6" w:rsidRDefault="007745C6">
      <w:pPr>
        <w:spacing w:after="0" w:line="240" w:lineRule="auto"/>
      </w:pPr>
      <w:r>
        <w:separator/>
      </w:r>
    </w:p>
  </w:endnote>
  <w:endnote w:type="continuationSeparator" w:id="0">
    <w:p w14:paraId="7D38E129" w14:textId="77777777" w:rsidR="007745C6" w:rsidRDefault="0077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FA659" w14:textId="77777777"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8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CF97BC8" wp14:editId="4A0E7668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49F7037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6297" w14:textId="77777777" w:rsidR="00756B5A" w:rsidRPr="00B7331D" w:rsidRDefault="0015702A" w:rsidP="00B7331D">
    <w:pPr>
      <w:pStyle w:val="Footer"/>
    </w:pPr>
    <w:r w:rsidRPr="00B7331D">
      <w:rPr>
        <w:rStyle w:val="Emphasis"/>
        <w:iCs w:val="0"/>
        <w:color w:val="E1493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B31BA" w14:textId="77777777" w:rsidR="007745C6" w:rsidRDefault="007745C6">
      <w:pPr>
        <w:spacing w:after="0" w:line="240" w:lineRule="auto"/>
      </w:pPr>
      <w:r>
        <w:separator/>
      </w:r>
    </w:p>
  </w:footnote>
  <w:footnote w:type="continuationSeparator" w:id="0">
    <w:p w14:paraId="242BAAEF" w14:textId="77777777" w:rsidR="007745C6" w:rsidRDefault="007745C6">
      <w:pPr>
        <w:spacing w:after="0" w:line="240" w:lineRule="auto"/>
      </w:pPr>
      <w:r>
        <w:continuationSeparator/>
      </w:r>
    </w:p>
  </w:footnote>
  <w:footnote w:id="1">
    <w:p w14:paraId="1E11BC22" w14:textId="04DA5212" w:rsidR="00A947E4" w:rsidRPr="000020A4" w:rsidRDefault="00A947E4">
      <w:pPr>
        <w:pStyle w:val="FootnoteText"/>
        <w:rPr>
          <w:sz w:val="8"/>
          <w:szCs w:val="8"/>
        </w:rPr>
      </w:pPr>
      <w:r>
        <w:rPr>
          <w:rStyle w:val="FootnoteReference"/>
        </w:rPr>
        <w:footnoteRef/>
      </w:r>
      <w:r>
        <w:t xml:space="preserve"> </w:t>
      </w:r>
      <w:r w:rsidR="00111B21">
        <w:t xml:space="preserve">Colin Gordon, </w:t>
      </w:r>
      <w:r>
        <w:t xml:space="preserve">“Race </w:t>
      </w:r>
      <w:r w:rsidR="00111B21">
        <w:t>in the Heartland: Equity, Opportunity, and Public Policy in the Midwest,” October 2019</w:t>
      </w:r>
      <w:r w:rsidR="00193B0F">
        <w:t xml:space="preserve">. </w:t>
      </w:r>
      <w:r w:rsidR="00111B21">
        <w:t xml:space="preserve"> </w:t>
      </w:r>
      <w:hyperlink r:id="rId1" w:history="1">
        <w:r w:rsidR="000020A4" w:rsidRPr="00C736CE">
          <w:rPr>
            <w:rStyle w:val="Hyperlink"/>
          </w:rPr>
          <w:t>https://files.epi.org/uploads/Race-in-the-Midwest-FINAL-Interactive-1.pdf</w:t>
        </w:r>
      </w:hyperlink>
      <w:r w:rsidR="000020A4">
        <w:br/>
      </w:r>
    </w:p>
  </w:footnote>
  <w:footnote w:id="2">
    <w:p w14:paraId="62371839" w14:textId="1865A43E" w:rsidR="000020A4" w:rsidRDefault="000020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736CE">
          <w:rPr>
            <w:rStyle w:val="Hyperlink"/>
          </w:rPr>
          <w:t>https://www.politifact.com/factchecks/2020/jun/11/joe-biden/homeownership-gap-between-white-and-black-american/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310666A2" w14:textId="77777777">
      <w:trPr>
        <w:trHeight w:val="576"/>
      </w:trPr>
      <w:tc>
        <w:tcPr>
          <w:tcW w:w="7920" w:type="dxa"/>
        </w:tcPr>
        <w:p w14:paraId="19677529" w14:textId="77777777" w:rsidR="00756B5A" w:rsidRDefault="00756B5A">
          <w:pPr>
            <w:pStyle w:val="Header"/>
          </w:pPr>
        </w:p>
      </w:tc>
    </w:tr>
  </w:tbl>
  <w:p w14:paraId="5D9C2C4B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BA9E4" wp14:editId="5BB1543C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67DD9025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B865" w14:textId="77777777" w:rsidR="00756B5A" w:rsidRDefault="00756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903"/>
    <w:multiLevelType w:val="hybridMultilevel"/>
    <w:tmpl w:val="70ACEEBC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A15"/>
    <w:multiLevelType w:val="hybridMultilevel"/>
    <w:tmpl w:val="FDD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7B6D"/>
    <w:multiLevelType w:val="hybridMultilevel"/>
    <w:tmpl w:val="0838B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6B13"/>
    <w:multiLevelType w:val="hybridMultilevel"/>
    <w:tmpl w:val="2E48E5AE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C19CD"/>
    <w:multiLevelType w:val="hybridMultilevel"/>
    <w:tmpl w:val="BF22F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503B"/>
    <w:multiLevelType w:val="hybridMultilevel"/>
    <w:tmpl w:val="A8BA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434A"/>
    <w:multiLevelType w:val="hybridMultilevel"/>
    <w:tmpl w:val="694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A3C22">
      <w:numFmt w:val="bullet"/>
      <w:lvlText w:val="•"/>
      <w:lvlJc w:val="left"/>
      <w:pPr>
        <w:ind w:left="1440" w:hanging="360"/>
      </w:pPr>
      <w:rPr>
        <w:rFonts w:ascii="Calibri Light" w:eastAsiaTheme="minorEastAsia" w:hAnsi="Calibri Light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5FA4"/>
    <w:multiLevelType w:val="hybridMultilevel"/>
    <w:tmpl w:val="98B00D00"/>
    <w:lvl w:ilvl="0" w:tplc="17BA9DAE">
      <w:start w:val="25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18774D"/>
    <w:multiLevelType w:val="hybridMultilevel"/>
    <w:tmpl w:val="1D0A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3DAB"/>
    <w:multiLevelType w:val="hybridMultilevel"/>
    <w:tmpl w:val="EF7C18C2"/>
    <w:lvl w:ilvl="0" w:tplc="4A4832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D59C4"/>
    <w:multiLevelType w:val="hybridMultilevel"/>
    <w:tmpl w:val="16425748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324"/>
    <w:multiLevelType w:val="hybridMultilevel"/>
    <w:tmpl w:val="AD1484B6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0848"/>
    <w:multiLevelType w:val="hybridMultilevel"/>
    <w:tmpl w:val="A0A6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248"/>
    <w:multiLevelType w:val="hybridMultilevel"/>
    <w:tmpl w:val="CB26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50F0"/>
    <w:multiLevelType w:val="hybridMultilevel"/>
    <w:tmpl w:val="D1A2D470"/>
    <w:lvl w:ilvl="0" w:tplc="87EE301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36EBC"/>
    <w:multiLevelType w:val="hybridMultilevel"/>
    <w:tmpl w:val="CB5AF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46B7F"/>
    <w:multiLevelType w:val="hybridMultilevel"/>
    <w:tmpl w:val="569E5E36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33C56"/>
    <w:multiLevelType w:val="hybridMultilevel"/>
    <w:tmpl w:val="BC9E77AE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65EA3"/>
    <w:multiLevelType w:val="hybridMultilevel"/>
    <w:tmpl w:val="B2F6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706EA"/>
    <w:multiLevelType w:val="hybridMultilevel"/>
    <w:tmpl w:val="DF402A8A"/>
    <w:lvl w:ilvl="0" w:tplc="7124F5F2">
      <w:start w:val="319"/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6D0D68EC"/>
    <w:multiLevelType w:val="hybridMultilevel"/>
    <w:tmpl w:val="222E8068"/>
    <w:lvl w:ilvl="0" w:tplc="FC0AD06A">
      <w:start w:val="24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2146E3"/>
    <w:multiLevelType w:val="hybridMultilevel"/>
    <w:tmpl w:val="5D8C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71EDC"/>
    <w:multiLevelType w:val="hybridMultilevel"/>
    <w:tmpl w:val="34528798"/>
    <w:lvl w:ilvl="0" w:tplc="4A483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2939"/>
    <w:multiLevelType w:val="hybridMultilevel"/>
    <w:tmpl w:val="A3A22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0"/>
  </w:num>
  <w:num w:numId="5">
    <w:abstractNumId w:val="19"/>
  </w:num>
  <w:num w:numId="6">
    <w:abstractNumId w:val="3"/>
  </w:num>
  <w:num w:numId="7">
    <w:abstractNumId w:val="11"/>
  </w:num>
  <w:num w:numId="8">
    <w:abstractNumId w:val="16"/>
  </w:num>
  <w:num w:numId="9">
    <w:abstractNumId w:val="10"/>
  </w:num>
  <w:num w:numId="10">
    <w:abstractNumId w:val="9"/>
  </w:num>
  <w:num w:numId="11">
    <w:abstractNumId w:val="22"/>
  </w:num>
  <w:num w:numId="12">
    <w:abstractNumId w:val="17"/>
  </w:num>
  <w:num w:numId="13">
    <w:abstractNumId w:val="0"/>
  </w:num>
  <w:num w:numId="14">
    <w:abstractNumId w:val="4"/>
  </w:num>
  <w:num w:numId="15">
    <w:abstractNumId w:val="18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15"/>
  </w:num>
  <w:num w:numId="21">
    <w:abstractNumId w:val="23"/>
  </w:num>
  <w:num w:numId="22">
    <w:abstractNumId w:val="8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56B40B-F874-437E-B408-77C9E1B3E2F5}"/>
    <w:docVar w:name="dgnword-eventsink" w:val="1022585744"/>
  </w:docVars>
  <w:rsids>
    <w:rsidRoot w:val="001E505D"/>
    <w:rsid w:val="0000033E"/>
    <w:rsid w:val="000020A4"/>
    <w:rsid w:val="000061F6"/>
    <w:rsid w:val="0002086C"/>
    <w:rsid w:val="00040724"/>
    <w:rsid w:val="00055FDF"/>
    <w:rsid w:val="000561FF"/>
    <w:rsid w:val="0005696A"/>
    <w:rsid w:val="000628E5"/>
    <w:rsid w:val="00081039"/>
    <w:rsid w:val="000A132B"/>
    <w:rsid w:val="000B3870"/>
    <w:rsid w:val="000B3ECF"/>
    <w:rsid w:val="000C5C36"/>
    <w:rsid w:val="000D0081"/>
    <w:rsid w:val="000E1192"/>
    <w:rsid w:val="00103B30"/>
    <w:rsid w:val="00111B21"/>
    <w:rsid w:val="00111E3C"/>
    <w:rsid w:val="001223EF"/>
    <w:rsid w:val="0015702A"/>
    <w:rsid w:val="00193B0F"/>
    <w:rsid w:val="0019686C"/>
    <w:rsid w:val="001A753F"/>
    <w:rsid w:val="001B172E"/>
    <w:rsid w:val="001D3DAA"/>
    <w:rsid w:val="001D476E"/>
    <w:rsid w:val="001E25E7"/>
    <w:rsid w:val="001E28FC"/>
    <w:rsid w:val="001E505D"/>
    <w:rsid w:val="001E6247"/>
    <w:rsid w:val="001F192B"/>
    <w:rsid w:val="00231954"/>
    <w:rsid w:val="002336D0"/>
    <w:rsid w:val="0025119F"/>
    <w:rsid w:val="002512EB"/>
    <w:rsid w:val="00265403"/>
    <w:rsid w:val="00271968"/>
    <w:rsid w:val="00277A52"/>
    <w:rsid w:val="002A26B3"/>
    <w:rsid w:val="002F3270"/>
    <w:rsid w:val="002F4B71"/>
    <w:rsid w:val="003024FE"/>
    <w:rsid w:val="00311D69"/>
    <w:rsid w:val="0033101A"/>
    <w:rsid w:val="00333976"/>
    <w:rsid w:val="00341528"/>
    <w:rsid w:val="00352BAE"/>
    <w:rsid w:val="00366096"/>
    <w:rsid w:val="00373BC0"/>
    <w:rsid w:val="003946FC"/>
    <w:rsid w:val="00395C32"/>
    <w:rsid w:val="003B07CC"/>
    <w:rsid w:val="003C0E5C"/>
    <w:rsid w:val="003D268D"/>
    <w:rsid w:val="00403A9A"/>
    <w:rsid w:val="00407FF9"/>
    <w:rsid w:val="00417D27"/>
    <w:rsid w:val="00417F72"/>
    <w:rsid w:val="004321B8"/>
    <w:rsid w:val="004359B1"/>
    <w:rsid w:val="00462681"/>
    <w:rsid w:val="0046496D"/>
    <w:rsid w:val="00492781"/>
    <w:rsid w:val="0049287D"/>
    <w:rsid w:val="004A0A21"/>
    <w:rsid w:val="004A50FF"/>
    <w:rsid w:val="004B2AED"/>
    <w:rsid w:val="004B3392"/>
    <w:rsid w:val="004C2CAB"/>
    <w:rsid w:val="004E664A"/>
    <w:rsid w:val="005314F2"/>
    <w:rsid w:val="00535089"/>
    <w:rsid w:val="00535C47"/>
    <w:rsid w:val="00542DD7"/>
    <w:rsid w:val="00545ABC"/>
    <w:rsid w:val="00554CDE"/>
    <w:rsid w:val="00557B73"/>
    <w:rsid w:val="00562655"/>
    <w:rsid w:val="005871FB"/>
    <w:rsid w:val="00596D29"/>
    <w:rsid w:val="005A72AE"/>
    <w:rsid w:val="005B76E4"/>
    <w:rsid w:val="005E7723"/>
    <w:rsid w:val="00614BEC"/>
    <w:rsid w:val="00623505"/>
    <w:rsid w:val="00646398"/>
    <w:rsid w:val="00651CB3"/>
    <w:rsid w:val="00657690"/>
    <w:rsid w:val="00691069"/>
    <w:rsid w:val="006B5FD7"/>
    <w:rsid w:val="00701F32"/>
    <w:rsid w:val="00743006"/>
    <w:rsid w:val="00745341"/>
    <w:rsid w:val="00756B5A"/>
    <w:rsid w:val="00757DE6"/>
    <w:rsid w:val="00760CDE"/>
    <w:rsid w:val="00770CE4"/>
    <w:rsid w:val="007733A2"/>
    <w:rsid w:val="007745C6"/>
    <w:rsid w:val="007772B2"/>
    <w:rsid w:val="007C4FAC"/>
    <w:rsid w:val="007D5D39"/>
    <w:rsid w:val="007E170F"/>
    <w:rsid w:val="0081662E"/>
    <w:rsid w:val="0084101B"/>
    <w:rsid w:val="00844BEE"/>
    <w:rsid w:val="0085207A"/>
    <w:rsid w:val="00854EE7"/>
    <w:rsid w:val="008553A5"/>
    <w:rsid w:val="008678F9"/>
    <w:rsid w:val="008679A3"/>
    <w:rsid w:val="00873107"/>
    <w:rsid w:val="008917CE"/>
    <w:rsid w:val="008A6E5F"/>
    <w:rsid w:val="008C5DE8"/>
    <w:rsid w:val="00904493"/>
    <w:rsid w:val="00905BBE"/>
    <w:rsid w:val="009102EA"/>
    <w:rsid w:val="00920E5D"/>
    <w:rsid w:val="00923E9D"/>
    <w:rsid w:val="0093179E"/>
    <w:rsid w:val="00931DD5"/>
    <w:rsid w:val="00932448"/>
    <w:rsid w:val="00940647"/>
    <w:rsid w:val="009479FA"/>
    <w:rsid w:val="00962C7F"/>
    <w:rsid w:val="009A57F6"/>
    <w:rsid w:val="009C2142"/>
    <w:rsid w:val="009E5846"/>
    <w:rsid w:val="009F6A97"/>
    <w:rsid w:val="00A032FF"/>
    <w:rsid w:val="00A20C7E"/>
    <w:rsid w:val="00A367C4"/>
    <w:rsid w:val="00A37C02"/>
    <w:rsid w:val="00A531E6"/>
    <w:rsid w:val="00A77959"/>
    <w:rsid w:val="00A80C72"/>
    <w:rsid w:val="00A915B0"/>
    <w:rsid w:val="00A947E4"/>
    <w:rsid w:val="00AF22F4"/>
    <w:rsid w:val="00B04C39"/>
    <w:rsid w:val="00B114F8"/>
    <w:rsid w:val="00B31756"/>
    <w:rsid w:val="00B600EB"/>
    <w:rsid w:val="00B61087"/>
    <w:rsid w:val="00B662BB"/>
    <w:rsid w:val="00B7331D"/>
    <w:rsid w:val="00B80F79"/>
    <w:rsid w:val="00B835A5"/>
    <w:rsid w:val="00B90D4E"/>
    <w:rsid w:val="00B91B45"/>
    <w:rsid w:val="00B9694E"/>
    <w:rsid w:val="00BA6A12"/>
    <w:rsid w:val="00BD406E"/>
    <w:rsid w:val="00BF2893"/>
    <w:rsid w:val="00BF4895"/>
    <w:rsid w:val="00C00EDF"/>
    <w:rsid w:val="00C3582C"/>
    <w:rsid w:val="00C47560"/>
    <w:rsid w:val="00C62E0D"/>
    <w:rsid w:val="00C73EF2"/>
    <w:rsid w:val="00C76478"/>
    <w:rsid w:val="00C81194"/>
    <w:rsid w:val="00C83ABC"/>
    <w:rsid w:val="00C848B7"/>
    <w:rsid w:val="00C939BD"/>
    <w:rsid w:val="00CC0A24"/>
    <w:rsid w:val="00CC0F60"/>
    <w:rsid w:val="00D1734A"/>
    <w:rsid w:val="00D334B2"/>
    <w:rsid w:val="00D35B78"/>
    <w:rsid w:val="00D51395"/>
    <w:rsid w:val="00D5396F"/>
    <w:rsid w:val="00D56BAF"/>
    <w:rsid w:val="00D6266C"/>
    <w:rsid w:val="00D70D13"/>
    <w:rsid w:val="00D95B03"/>
    <w:rsid w:val="00DB7EC6"/>
    <w:rsid w:val="00DC2E2A"/>
    <w:rsid w:val="00DD263D"/>
    <w:rsid w:val="00DD3B34"/>
    <w:rsid w:val="00DF0841"/>
    <w:rsid w:val="00DF6EC3"/>
    <w:rsid w:val="00E30C65"/>
    <w:rsid w:val="00E35B6D"/>
    <w:rsid w:val="00E42E11"/>
    <w:rsid w:val="00E66D8E"/>
    <w:rsid w:val="00E93950"/>
    <w:rsid w:val="00E9441F"/>
    <w:rsid w:val="00EA14F7"/>
    <w:rsid w:val="00EE1A1E"/>
    <w:rsid w:val="00EE6787"/>
    <w:rsid w:val="00F044F6"/>
    <w:rsid w:val="00F11273"/>
    <w:rsid w:val="00F16607"/>
    <w:rsid w:val="00F2418C"/>
    <w:rsid w:val="00F31144"/>
    <w:rsid w:val="00F40F41"/>
    <w:rsid w:val="00F535DA"/>
    <w:rsid w:val="00F91453"/>
    <w:rsid w:val="00FA5D18"/>
    <w:rsid w:val="00FD29E9"/>
    <w:rsid w:val="00FE01E1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DEC4C6"/>
  <w15:chartTrackingRefBased/>
  <w15:docId w15:val="{532C0C80-6862-45B9-AEFA-7C1614AC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Hyperlink">
    <w:name w:val="Hyperlink"/>
    <w:basedOn w:val="DefaultParagraphFont"/>
    <w:uiPriority w:val="99"/>
    <w:unhideWhenUsed/>
    <w:rsid w:val="001570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A12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6A12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xmsonormal">
    <w:name w:val="x_msonormal"/>
    <w:basedOn w:val="Normal"/>
    <w:uiPriority w:val="99"/>
    <w:semiHidden/>
    <w:rsid w:val="00BA6A12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352BA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65403"/>
    <w:pPr>
      <w:spacing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5403"/>
    <w:rPr>
      <w:rFonts w:ascii="Calibri" w:eastAsiaTheme="minorHAnsi" w:hAnsi="Calibr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0C6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7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7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7E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0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litifact.com/factchecks/2020/jun/11/joe-biden/homeownership-gap-between-white-and-black-american/" TargetMode="External"/><Relationship Id="rId1" Type="http://schemas.openxmlformats.org/officeDocument/2006/relationships/hyperlink" Target="https://files.epi.org/uploads/Race-in-the-Midwest-FINAL-Interactive-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lly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EAF3-0D1F-4F43-8000-C34838BF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Disterhoft</dc:creator>
  <cp:keywords/>
  <dc:description/>
  <cp:lastModifiedBy>Tara Wachendorf</cp:lastModifiedBy>
  <cp:revision>44</cp:revision>
  <cp:lastPrinted>2018-09-13T21:55:00Z</cp:lastPrinted>
  <dcterms:created xsi:type="dcterms:W3CDTF">2021-01-18T16:32:00Z</dcterms:created>
  <dcterms:modified xsi:type="dcterms:W3CDTF">2021-01-25T13:56:00Z</dcterms:modified>
</cp:coreProperties>
</file>