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C69B" w14:textId="77777777" w:rsidR="00F81F0B" w:rsidRDefault="001E309F">
      <w:pPr>
        <w:pBdr>
          <w:top w:val="nil"/>
          <w:left w:val="nil"/>
          <w:bottom w:val="nil"/>
          <w:right w:val="nil"/>
          <w:between w:val="nil"/>
        </w:pBdr>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t xml:space="preserve">                                 </w:t>
      </w:r>
      <w:r>
        <w:rPr>
          <w:noProof/>
        </w:rPr>
        <w:drawing>
          <wp:anchor distT="0" distB="0" distL="0" distR="0" simplePos="0" relativeHeight="251658240" behindDoc="0" locked="0" layoutInCell="1" hidden="0" allowOverlap="1" wp14:anchorId="649DA3AE" wp14:editId="0E9D3C7B">
            <wp:simplePos x="0" y="0"/>
            <wp:positionH relativeFrom="column">
              <wp:posOffset>-318149</wp:posOffset>
            </wp:positionH>
            <wp:positionV relativeFrom="paragraph">
              <wp:posOffset>-439939</wp:posOffset>
            </wp:positionV>
            <wp:extent cx="2790825" cy="720725"/>
            <wp:effectExtent l="0" t="0" r="0" b="0"/>
            <wp:wrapNone/>
            <wp:docPr id="2" name="image1.jpg" descr="WMA-eltrhd.jpg"/>
            <wp:cNvGraphicFramePr/>
            <a:graphic xmlns:a="http://schemas.openxmlformats.org/drawingml/2006/main">
              <a:graphicData uri="http://schemas.openxmlformats.org/drawingml/2006/picture">
                <pic:pic xmlns:pic="http://schemas.openxmlformats.org/drawingml/2006/picture">
                  <pic:nvPicPr>
                    <pic:cNvPr id="0" name="image1.jpg" descr="WMA-eltrhd.jpg"/>
                    <pic:cNvPicPr preferRelativeResize="0"/>
                  </pic:nvPicPr>
                  <pic:blipFill>
                    <a:blip r:embed="rId9"/>
                    <a:srcRect/>
                    <a:stretch>
                      <a:fillRect/>
                    </a:stretch>
                  </pic:blipFill>
                  <pic:spPr>
                    <a:xfrm>
                      <a:off x="0" y="0"/>
                      <a:ext cx="2790825" cy="7207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125EE3C" wp14:editId="67314C6F">
            <wp:simplePos x="0" y="0"/>
            <wp:positionH relativeFrom="column">
              <wp:posOffset>4612399</wp:posOffset>
            </wp:positionH>
            <wp:positionV relativeFrom="paragraph">
              <wp:posOffset>-613457</wp:posOffset>
            </wp:positionV>
            <wp:extent cx="1922145" cy="96647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922145" cy="966470"/>
                    </a:xfrm>
                    <a:prstGeom prst="rect">
                      <a:avLst/>
                    </a:prstGeom>
                    <a:ln/>
                  </pic:spPr>
                </pic:pic>
              </a:graphicData>
            </a:graphic>
          </wp:anchor>
        </w:drawing>
      </w:r>
    </w:p>
    <w:p w14:paraId="7307E4C6" w14:textId="77777777" w:rsidR="00F81F0B" w:rsidRDefault="00F81F0B">
      <w:pPr>
        <w:pBdr>
          <w:top w:val="nil"/>
          <w:left w:val="nil"/>
          <w:bottom w:val="nil"/>
          <w:right w:val="nil"/>
          <w:between w:val="nil"/>
        </w:pBdr>
        <w:rPr>
          <w:rFonts w:ascii="Calibri" w:eastAsia="Calibri" w:hAnsi="Calibri" w:cs="Calibri"/>
          <w:b/>
          <w:color w:val="000000"/>
          <w:sz w:val="22"/>
          <w:szCs w:val="22"/>
        </w:rPr>
      </w:pPr>
    </w:p>
    <w:p w14:paraId="10E0702D" w14:textId="77777777" w:rsidR="00F81F0B" w:rsidRDefault="001E309F">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MEDIA CONTACTS:</w:t>
      </w:r>
    </w:p>
    <w:p w14:paraId="0D3C25B9" w14:textId="77777777" w:rsidR="00F81F0B" w:rsidRDefault="001E309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Charlyne H. McWilliams/Ayesha Jamil </w:t>
      </w:r>
      <w:r>
        <w:rPr>
          <w:noProof/>
        </w:rPr>
        <mc:AlternateContent>
          <mc:Choice Requires="wpg">
            <w:drawing>
              <wp:anchor distT="57150" distB="57150" distL="57150" distR="57150" simplePos="0" relativeHeight="251660288" behindDoc="0" locked="0" layoutInCell="1" hidden="0" allowOverlap="1" wp14:anchorId="694E39F4" wp14:editId="79123A9A">
                <wp:simplePos x="0" y="0"/>
                <wp:positionH relativeFrom="column">
                  <wp:posOffset>4502150</wp:posOffset>
                </wp:positionH>
                <wp:positionV relativeFrom="paragraph">
                  <wp:posOffset>6351</wp:posOffset>
                </wp:positionV>
                <wp:extent cx="1724025" cy="459740"/>
                <wp:effectExtent l="0" t="0" r="0" b="0"/>
                <wp:wrapSquare wrapText="bothSides" distT="57150" distB="57150" distL="57150" distR="57150"/>
                <wp:docPr id="1" name="" descr="Text Box 4"/>
                <wp:cNvGraphicFramePr/>
                <a:graphic xmlns:a="http://schemas.openxmlformats.org/drawingml/2006/main">
                  <a:graphicData uri="http://schemas.microsoft.com/office/word/2010/wordprocessingShape">
                    <wps:wsp>
                      <wps:cNvSpPr/>
                      <wps:spPr>
                        <a:xfrm>
                          <a:off x="4493513" y="3559655"/>
                          <a:ext cx="1704975" cy="440690"/>
                        </a:xfrm>
                        <a:prstGeom prst="rect">
                          <a:avLst/>
                        </a:prstGeom>
                        <a:noFill/>
                        <a:ln>
                          <a:noFill/>
                        </a:ln>
                      </wps:spPr>
                      <wps:txbx>
                        <w:txbxContent>
                          <w:p w14:paraId="0D77C13E" w14:textId="77777777" w:rsidR="00F81F0B" w:rsidRDefault="001E309F">
                            <w:pPr>
                              <w:spacing w:after="200" w:line="275" w:lineRule="auto"/>
                              <w:jc w:val="right"/>
                              <w:textDirection w:val="btLr"/>
                            </w:pPr>
                            <w:r>
                              <w:rPr>
                                <w:rFonts w:ascii="Century Gothic" w:eastAsia="Century Gothic" w:hAnsi="Century Gothic" w:cs="Century Gothic"/>
                                <w:color w:val="000000"/>
                                <w:sz w:val="32"/>
                              </w:rPr>
                              <w:t>NEWS RELEASE</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4502150</wp:posOffset>
                </wp:positionH>
                <wp:positionV relativeFrom="paragraph">
                  <wp:posOffset>6351</wp:posOffset>
                </wp:positionV>
                <wp:extent cx="1724025" cy="459740"/>
                <wp:effectExtent b="0" l="0" r="0" t="0"/>
                <wp:wrapSquare wrapText="bothSides" distB="57150" distT="57150" distL="57150" distR="57150"/>
                <wp:docPr descr="Text Box 4" id="1" name="image3.png"/>
                <a:graphic>
                  <a:graphicData uri="http://schemas.openxmlformats.org/drawingml/2006/picture">
                    <pic:pic>
                      <pic:nvPicPr>
                        <pic:cNvPr descr="Text Box 4" id="0" name="image3.png"/>
                        <pic:cNvPicPr preferRelativeResize="0"/>
                      </pic:nvPicPr>
                      <pic:blipFill>
                        <a:blip r:embed="rId11"/>
                        <a:srcRect/>
                        <a:stretch>
                          <a:fillRect/>
                        </a:stretch>
                      </pic:blipFill>
                      <pic:spPr>
                        <a:xfrm>
                          <a:off x="0" y="0"/>
                          <a:ext cx="1724025" cy="459740"/>
                        </a:xfrm>
                        <a:prstGeom prst="rect"/>
                        <a:ln/>
                      </pic:spPr>
                    </pic:pic>
                  </a:graphicData>
                </a:graphic>
              </wp:anchor>
            </w:drawing>
          </mc:Fallback>
        </mc:AlternateContent>
      </w:r>
    </w:p>
    <w:p w14:paraId="577FE699" w14:textId="77777777" w:rsidR="00F81F0B" w:rsidRDefault="001E309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301.933.5567/678.781.7230</w:t>
      </w:r>
    </w:p>
    <w:p w14:paraId="60BE64DB" w14:textId="77777777" w:rsidR="00F81F0B" w:rsidRDefault="001E309F">
      <w:pPr>
        <w:pBdr>
          <w:top w:val="nil"/>
          <w:left w:val="nil"/>
          <w:bottom w:val="nil"/>
          <w:right w:val="nil"/>
          <w:between w:val="nil"/>
        </w:pBdr>
        <w:spacing w:after="200" w:line="276" w:lineRule="auto"/>
        <w:rPr>
          <w:rFonts w:ascii="Calibri" w:eastAsia="Calibri" w:hAnsi="Calibri" w:cs="Calibri"/>
          <w:color w:val="000000"/>
          <w:sz w:val="22"/>
          <w:szCs w:val="22"/>
        </w:rPr>
      </w:pPr>
      <w:hyperlink r:id="rId12">
        <w:r>
          <w:rPr>
            <w:rFonts w:ascii="Calibri" w:eastAsia="Calibri" w:hAnsi="Calibri" w:cs="Calibri"/>
            <w:color w:val="0563C1"/>
            <w:sz w:val="22"/>
            <w:szCs w:val="22"/>
            <w:u w:val="single"/>
          </w:rPr>
          <w:t>charlyne@williammills.com</w:t>
        </w:r>
      </w:hyperlink>
      <w:r>
        <w:rPr>
          <w:rFonts w:ascii="Calibri" w:eastAsia="Calibri" w:hAnsi="Calibri" w:cs="Calibri"/>
          <w:color w:val="000000"/>
          <w:sz w:val="22"/>
          <w:szCs w:val="22"/>
        </w:rPr>
        <w:t xml:space="preserve"> /</w:t>
      </w:r>
      <w:r>
        <w:rPr>
          <w:rFonts w:ascii="Calibri" w:eastAsia="Calibri" w:hAnsi="Calibri" w:cs="Calibri"/>
          <w:color w:val="0563C1"/>
          <w:sz w:val="22"/>
          <w:szCs w:val="22"/>
          <w:u w:val="single"/>
        </w:rPr>
        <w:t xml:space="preserve"> </w:t>
      </w:r>
      <w:hyperlink r:id="rId13">
        <w:r>
          <w:rPr>
            <w:rFonts w:ascii="Calibri" w:eastAsia="Calibri" w:hAnsi="Calibri" w:cs="Calibri"/>
            <w:color w:val="0563C1"/>
            <w:sz w:val="22"/>
            <w:szCs w:val="22"/>
            <w:u w:val="single"/>
          </w:rPr>
          <w:t>ayesha@williammills.com</w:t>
        </w:r>
      </w:hyperlink>
      <w:r>
        <w:rPr>
          <w:rFonts w:ascii="Calibri" w:eastAsia="Calibri" w:hAnsi="Calibri" w:cs="Calibri"/>
          <w:color w:val="0563C1"/>
          <w:sz w:val="22"/>
          <w:szCs w:val="22"/>
          <w:u w:val="single"/>
        </w:rPr>
        <w:t xml:space="preserve"> </w:t>
      </w:r>
      <w:r>
        <w:rPr>
          <w:rFonts w:ascii="Calibri" w:eastAsia="Calibri" w:hAnsi="Calibri" w:cs="Calibri"/>
          <w:color w:val="000000"/>
          <w:sz w:val="22"/>
          <w:szCs w:val="22"/>
        </w:rPr>
        <w:t xml:space="preserve"> </w:t>
      </w:r>
    </w:p>
    <w:p w14:paraId="03300745" w14:textId="77777777" w:rsidR="00F81F0B" w:rsidRDefault="001E309F">
      <w:pPr>
        <w:pBdr>
          <w:top w:val="nil"/>
          <w:left w:val="nil"/>
          <w:bottom w:val="nil"/>
          <w:right w:val="nil"/>
          <w:between w:val="nil"/>
        </w:pBdr>
        <w:jc w:val="center"/>
        <w:rPr>
          <w:rFonts w:ascii="Calibri" w:eastAsia="Calibri" w:hAnsi="Calibri" w:cs="Calibri"/>
          <w:b/>
          <w:color w:val="000000"/>
          <w:sz w:val="22"/>
          <w:szCs w:val="22"/>
        </w:rPr>
      </w:pPr>
      <w:bookmarkStart w:id="0" w:name="_gjdgxs" w:colFirst="0" w:colLast="0"/>
      <w:bookmarkEnd w:id="0"/>
      <w:r>
        <w:rPr>
          <w:rFonts w:ascii="Calibri" w:eastAsia="Calibri" w:hAnsi="Calibri" w:cs="Calibri"/>
          <w:b/>
          <w:color w:val="000000"/>
          <w:sz w:val="22"/>
          <w:szCs w:val="22"/>
        </w:rPr>
        <w:t>LenderClose Taps Stefanie Rupert to Join Board of Directors</w:t>
      </w:r>
    </w:p>
    <w:p w14:paraId="64939025" w14:textId="77777777" w:rsidR="00F81F0B" w:rsidRDefault="001E309F">
      <w:pPr>
        <w:pBdr>
          <w:top w:val="nil"/>
          <w:left w:val="nil"/>
          <w:bottom w:val="nil"/>
          <w:right w:val="nil"/>
          <w:between w:val="nil"/>
        </w:pBdr>
        <w:jc w:val="center"/>
        <w:rPr>
          <w:rFonts w:ascii="Calibri" w:eastAsia="Calibri" w:hAnsi="Calibri" w:cs="Calibri"/>
          <w:i/>
          <w:color w:val="000000"/>
          <w:sz w:val="22"/>
          <w:szCs w:val="22"/>
        </w:rPr>
      </w:pPr>
      <w:r>
        <w:rPr>
          <w:rFonts w:ascii="Calibri" w:eastAsia="Calibri" w:hAnsi="Calibri" w:cs="Calibri"/>
          <w:i/>
          <w:color w:val="000000"/>
          <w:sz w:val="22"/>
          <w:szCs w:val="22"/>
        </w:rPr>
        <w:t xml:space="preserve">Industry veteran brings more than 30 years of strategic insight to fintech firm </w:t>
      </w:r>
    </w:p>
    <w:p w14:paraId="0C0DD07C" w14:textId="77777777" w:rsidR="00F81F0B" w:rsidRDefault="00F81F0B">
      <w:pPr>
        <w:pBdr>
          <w:top w:val="nil"/>
          <w:left w:val="nil"/>
          <w:bottom w:val="nil"/>
          <w:right w:val="nil"/>
          <w:between w:val="nil"/>
        </w:pBdr>
        <w:jc w:val="center"/>
        <w:rPr>
          <w:rFonts w:ascii="Calibri" w:eastAsia="Calibri" w:hAnsi="Calibri" w:cs="Calibri"/>
          <w:b/>
          <w:color w:val="000000"/>
          <w:sz w:val="22"/>
          <w:szCs w:val="22"/>
        </w:rPr>
      </w:pPr>
    </w:p>
    <w:p w14:paraId="0903E4E4" w14:textId="7BC0FE32" w:rsidR="00F81F0B" w:rsidRDefault="001E309F">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b/>
          <w:color w:val="000000"/>
          <w:sz w:val="22"/>
          <w:szCs w:val="22"/>
        </w:rPr>
        <w:t xml:space="preserve">DES MOINES, April </w:t>
      </w:r>
      <w:r w:rsidR="003F1C78">
        <w:rPr>
          <w:rFonts w:ascii="Calibri" w:eastAsia="Calibri" w:hAnsi="Calibri" w:cs="Calibri"/>
          <w:b/>
          <w:color w:val="000000"/>
          <w:sz w:val="22"/>
          <w:szCs w:val="22"/>
        </w:rPr>
        <w:t>13</w:t>
      </w:r>
      <w:r>
        <w:rPr>
          <w:rFonts w:ascii="Calibri" w:eastAsia="Calibri" w:hAnsi="Calibri" w:cs="Calibri"/>
          <w:b/>
          <w:color w:val="000000"/>
          <w:sz w:val="22"/>
          <w:szCs w:val="22"/>
        </w:rPr>
        <w:t>, 2021 –</w:t>
      </w:r>
      <w:r>
        <w:rPr>
          <w:rFonts w:ascii="Calibri" w:eastAsia="Calibri" w:hAnsi="Calibri" w:cs="Calibri"/>
          <w:color w:val="000000"/>
          <w:sz w:val="22"/>
          <w:szCs w:val="22"/>
        </w:rPr>
        <w:t xml:space="preserve"> LenderClose, a real estate and home equity lending technology platform, has appointed </w:t>
      </w:r>
      <w:hyperlink r:id="rId14">
        <w:r>
          <w:rPr>
            <w:rFonts w:ascii="Calibri" w:eastAsia="Calibri" w:hAnsi="Calibri" w:cs="Calibri"/>
            <w:color w:val="1155CC"/>
            <w:sz w:val="22"/>
            <w:szCs w:val="22"/>
            <w:u w:val="single"/>
          </w:rPr>
          <w:t>Stefanie Rupert</w:t>
        </w:r>
      </w:hyperlink>
      <w:r>
        <w:rPr>
          <w:rFonts w:ascii="Calibri" w:eastAsia="Calibri" w:hAnsi="Calibri" w:cs="Calibri"/>
          <w:color w:val="000000"/>
          <w:sz w:val="22"/>
          <w:szCs w:val="22"/>
        </w:rPr>
        <w:t xml:space="preserve"> to its board of directors. The addition of Rupert brings the number of board memb</w:t>
      </w:r>
      <w:r>
        <w:rPr>
          <w:rFonts w:ascii="Calibri" w:eastAsia="Calibri" w:hAnsi="Calibri" w:cs="Calibri"/>
          <w:color w:val="000000"/>
          <w:sz w:val="22"/>
          <w:szCs w:val="22"/>
        </w:rPr>
        <w:t xml:space="preserve">ers to </w:t>
      </w:r>
      <w:r>
        <w:rPr>
          <w:rFonts w:ascii="Calibri" w:eastAsia="Calibri" w:hAnsi="Calibri" w:cs="Calibri"/>
          <w:sz w:val="22"/>
          <w:szCs w:val="22"/>
        </w:rPr>
        <w:t>seven</w:t>
      </w:r>
      <w:r>
        <w:rPr>
          <w:rFonts w:ascii="Calibri" w:eastAsia="Calibri" w:hAnsi="Calibri" w:cs="Calibri"/>
          <w:color w:val="000000"/>
          <w:sz w:val="22"/>
          <w:szCs w:val="22"/>
        </w:rPr>
        <w:t xml:space="preserve">. </w:t>
      </w:r>
    </w:p>
    <w:p w14:paraId="7570A903" w14:textId="77777777" w:rsidR="00F81F0B" w:rsidRDefault="001E309F">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Rupert has more than 30 years of experience in the </w:t>
      </w:r>
      <w:r>
        <w:rPr>
          <w:rFonts w:ascii="Calibri" w:eastAsia="Calibri" w:hAnsi="Calibri" w:cs="Calibri"/>
          <w:sz w:val="22"/>
          <w:szCs w:val="22"/>
        </w:rPr>
        <w:t>banking and credit union</w:t>
      </w:r>
      <w:r>
        <w:rPr>
          <w:rFonts w:ascii="Calibri" w:eastAsia="Calibri" w:hAnsi="Calibri" w:cs="Calibri"/>
          <w:color w:val="000000"/>
          <w:sz w:val="22"/>
          <w:szCs w:val="22"/>
        </w:rPr>
        <w:t xml:space="preserve"> </w:t>
      </w:r>
      <w:r>
        <w:rPr>
          <w:rFonts w:ascii="Calibri" w:eastAsia="Calibri" w:hAnsi="Calibri" w:cs="Calibri"/>
          <w:sz w:val="22"/>
          <w:szCs w:val="22"/>
        </w:rPr>
        <w:t xml:space="preserve">industries, currently serving </w:t>
      </w:r>
      <w:r>
        <w:rPr>
          <w:rFonts w:ascii="Calibri" w:eastAsia="Calibri" w:hAnsi="Calibri" w:cs="Calibri"/>
          <w:color w:val="000000"/>
          <w:sz w:val="22"/>
          <w:szCs w:val="22"/>
        </w:rPr>
        <w:t>as president and CEO of Collins Community Credit Union. She has founded several credit union service organizations (CUSOs) and serves o</w:t>
      </w:r>
      <w:r>
        <w:rPr>
          <w:rFonts w:ascii="Calibri" w:eastAsia="Calibri" w:hAnsi="Calibri" w:cs="Calibri"/>
          <w:color w:val="000000"/>
          <w:sz w:val="22"/>
          <w:szCs w:val="22"/>
        </w:rPr>
        <w:t xml:space="preserve">n an advisory council with Fiserv, providing recommendations on </w:t>
      </w:r>
      <w:r>
        <w:rPr>
          <w:rFonts w:ascii="Calibri" w:eastAsia="Calibri" w:hAnsi="Calibri" w:cs="Calibri"/>
          <w:sz w:val="22"/>
          <w:szCs w:val="22"/>
        </w:rPr>
        <w:t>consumer</w:t>
      </w:r>
      <w:r>
        <w:rPr>
          <w:rFonts w:ascii="Calibri" w:eastAsia="Calibri" w:hAnsi="Calibri" w:cs="Calibri"/>
          <w:color w:val="000000"/>
          <w:sz w:val="22"/>
          <w:szCs w:val="22"/>
        </w:rPr>
        <w:t xml:space="preserve"> engagement and online banking strategies. </w:t>
      </w:r>
    </w:p>
    <w:p w14:paraId="7E10BC0A" w14:textId="77777777" w:rsidR="00F81F0B" w:rsidRDefault="001E309F">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 xml:space="preserve">Stefanie brings a wealth of experience </w:t>
      </w:r>
      <w:r>
        <w:rPr>
          <w:rFonts w:ascii="Calibri" w:eastAsia="Calibri" w:hAnsi="Calibri" w:cs="Calibri"/>
          <w:color w:val="000000"/>
          <w:sz w:val="22"/>
          <w:szCs w:val="22"/>
        </w:rPr>
        <w:t>in the financial services industry,” said Omar Jordan, founder and CEO of LenderClose. “Her strategi</w:t>
      </w:r>
      <w:r>
        <w:rPr>
          <w:rFonts w:ascii="Calibri" w:eastAsia="Calibri" w:hAnsi="Calibri" w:cs="Calibri"/>
          <w:color w:val="000000"/>
          <w:sz w:val="22"/>
          <w:szCs w:val="22"/>
        </w:rPr>
        <w:t xml:space="preserve">c insight will help </w:t>
      </w:r>
      <w:r>
        <w:rPr>
          <w:rFonts w:ascii="Calibri" w:eastAsia="Calibri" w:hAnsi="Calibri" w:cs="Calibri"/>
          <w:sz w:val="22"/>
          <w:szCs w:val="22"/>
        </w:rPr>
        <w:t>LenderClose</w:t>
      </w:r>
      <w:r>
        <w:rPr>
          <w:rFonts w:ascii="Calibri" w:eastAsia="Calibri" w:hAnsi="Calibri" w:cs="Calibri"/>
          <w:color w:val="000000"/>
          <w:sz w:val="22"/>
          <w:szCs w:val="22"/>
        </w:rPr>
        <w:t xml:space="preserve"> </w:t>
      </w:r>
      <w:r>
        <w:rPr>
          <w:rFonts w:ascii="Calibri" w:eastAsia="Calibri" w:hAnsi="Calibri" w:cs="Calibri"/>
          <w:sz w:val="22"/>
          <w:szCs w:val="22"/>
        </w:rPr>
        <w:t>expand its outreach to community</w:t>
      </w:r>
      <w:r>
        <w:rPr>
          <w:rFonts w:ascii="Calibri" w:eastAsia="Calibri" w:hAnsi="Calibri" w:cs="Calibri"/>
          <w:color w:val="000000"/>
          <w:sz w:val="22"/>
          <w:szCs w:val="22"/>
        </w:rPr>
        <w:t xml:space="preserve"> lenders dedicated to improving their real estate and home equity lending journey. We are excited to welcome </w:t>
      </w:r>
      <w:r>
        <w:rPr>
          <w:rFonts w:ascii="Calibri" w:eastAsia="Calibri" w:hAnsi="Calibri" w:cs="Calibri"/>
          <w:sz w:val="22"/>
          <w:szCs w:val="22"/>
        </w:rPr>
        <w:t>Stefanie</w:t>
      </w:r>
      <w:r>
        <w:rPr>
          <w:rFonts w:ascii="Calibri" w:eastAsia="Calibri" w:hAnsi="Calibri" w:cs="Calibri"/>
          <w:color w:val="000000"/>
          <w:sz w:val="22"/>
          <w:szCs w:val="22"/>
        </w:rPr>
        <w:t xml:space="preserve"> </w:t>
      </w:r>
      <w:r>
        <w:rPr>
          <w:rFonts w:ascii="Calibri" w:eastAsia="Calibri" w:hAnsi="Calibri" w:cs="Calibri"/>
          <w:sz w:val="22"/>
          <w:szCs w:val="22"/>
        </w:rPr>
        <w:t>to our board of directors made up of key industry players.”</w:t>
      </w:r>
    </w:p>
    <w:p w14:paraId="630AD7D2" w14:textId="77777777" w:rsidR="00F81F0B" w:rsidRDefault="001E309F">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sz w:val="22"/>
          <w:szCs w:val="22"/>
        </w:rPr>
        <w:t>Rupert</w:t>
      </w:r>
      <w:r>
        <w:rPr>
          <w:rFonts w:ascii="Calibri" w:eastAsia="Calibri" w:hAnsi="Calibri" w:cs="Calibri"/>
          <w:color w:val="000000"/>
          <w:sz w:val="22"/>
          <w:szCs w:val="22"/>
        </w:rPr>
        <w:t xml:space="preserve"> was rec</w:t>
      </w:r>
      <w:r>
        <w:rPr>
          <w:rFonts w:ascii="Calibri" w:eastAsia="Calibri" w:hAnsi="Calibri" w:cs="Calibri"/>
          <w:color w:val="000000"/>
          <w:sz w:val="22"/>
          <w:szCs w:val="22"/>
        </w:rPr>
        <w:t xml:space="preserve">ently </w:t>
      </w:r>
      <w:r>
        <w:rPr>
          <w:rFonts w:ascii="Calibri" w:eastAsia="Calibri" w:hAnsi="Calibri" w:cs="Calibri"/>
          <w:sz w:val="22"/>
          <w:szCs w:val="22"/>
        </w:rPr>
        <w:t xml:space="preserve">featured as </w:t>
      </w:r>
      <w:r>
        <w:rPr>
          <w:rFonts w:ascii="Calibri" w:eastAsia="Calibri" w:hAnsi="Calibri" w:cs="Calibri"/>
          <w:color w:val="000000"/>
          <w:sz w:val="22"/>
          <w:szCs w:val="22"/>
        </w:rPr>
        <w:t xml:space="preserve">a Woman of Influence by the </w:t>
      </w:r>
      <w:r>
        <w:rPr>
          <w:rFonts w:ascii="Calibri" w:eastAsia="Calibri" w:hAnsi="Calibri" w:cs="Calibri"/>
          <w:i/>
          <w:color w:val="000000"/>
          <w:sz w:val="22"/>
          <w:szCs w:val="22"/>
        </w:rPr>
        <w:t>Corridor Business Journal</w:t>
      </w:r>
      <w:r>
        <w:rPr>
          <w:rFonts w:ascii="Calibri" w:eastAsia="Calibri" w:hAnsi="Calibri" w:cs="Calibri"/>
          <w:color w:val="000000"/>
          <w:sz w:val="22"/>
          <w:szCs w:val="22"/>
        </w:rPr>
        <w:t xml:space="preserve"> and the </w:t>
      </w:r>
      <w:r>
        <w:rPr>
          <w:rFonts w:ascii="Calibri" w:eastAsia="Calibri" w:hAnsi="Calibri" w:cs="Calibri"/>
          <w:i/>
          <w:color w:val="000000"/>
          <w:sz w:val="22"/>
          <w:szCs w:val="22"/>
        </w:rPr>
        <w:t>Des Moines Business Record</w:t>
      </w:r>
      <w:r>
        <w:rPr>
          <w:rFonts w:ascii="Calibri" w:eastAsia="Calibri" w:hAnsi="Calibri" w:cs="Calibri"/>
          <w:color w:val="000000"/>
          <w:sz w:val="22"/>
          <w:szCs w:val="22"/>
        </w:rPr>
        <w:t xml:space="preserve">. </w:t>
      </w:r>
      <w:r>
        <w:rPr>
          <w:rFonts w:ascii="Calibri" w:eastAsia="Calibri" w:hAnsi="Calibri" w:cs="Calibri"/>
          <w:sz w:val="22"/>
          <w:szCs w:val="22"/>
        </w:rPr>
        <w:t xml:space="preserve">She </w:t>
      </w:r>
      <w:r>
        <w:rPr>
          <w:rFonts w:ascii="Calibri" w:eastAsia="Calibri" w:hAnsi="Calibri" w:cs="Calibri"/>
          <w:color w:val="000000"/>
          <w:sz w:val="22"/>
          <w:szCs w:val="22"/>
        </w:rPr>
        <w:t>has received advanced degrees and industry accreditations from prominent universities such as Michigan State, The Wharton School of Business, Ma</w:t>
      </w:r>
      <w:r>
        <w:rPr>
          <w:rFonts w:ascii="Calibri" w:eastAsia="Calibri" w:hAnsi="Calibri" w:cs="Calibri"/>
          <w:color w:val="000000"/>
          <w:sz w:val="22"/>
          <w:szCs w:val="22"/>
        </w:rPr>
        <w:t xml:space="preserve">ssachusetts Institute of Technology and Stanford University. </w:t>
      </w:r>
    </w:p>
    <w:p w14:paraId="32068DCC" w14:textId="77777777" w:rsidR="00F81F0B" w:rsidRDefault="001E309F">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“I’m excited to join such a talented team at LenderClose, which is highly regarded by lenders nationwide,” Rupert said. “</w:t>
      </w:r>
      <w:r>
        <w:rPr>
          <w:rFonts w:ascii="Calibri" w:eastAsia="Calibri" w:hAnsi="Calibri" w:cs="Calibri"/>
          <w:sz w:val="22"/>
          <w:szCs w:val="22"/>
        </w:rPr>
        <w:t>Collins Community Credit Union</w:t>
      </w:r>
      <w:r>
        <w:rPr>
          <w:rFonts w:ascii="Calibri" w:eastAsia="Calibri" w:hAnsi="Calibri" w:cs="Calibri"/>
          <w:color w:val="000000"/>
          <w:sz w:val="22"/>
          <w:szCs w:val="22"/>
        </w:rPr>
        <w:t xml:space="preserve"> </w:t>
      </w:r>
      <w:r>
        <w:rPr>
          <w:rFonts w:ascii="Calibri" w:eastAsia="Calibri" w:hAnsi="Calibri" w:cs="Calibri"/>
          <w:sz w:val="22"/>
          <w:szCs w:val="22"/>
        </w:rPr>
        <w:t xml:space="preserve">is </w:t>
      </w:r>
      <w:r>
        <w:rPr>
          <w:rFonts w:ascii="Calibri" w:eastAsia="Calibri" w:hAnsi="Calibri" w:cs="Calibri"/>
          <w:color w:val="000000"/>
          <w:sz w:val="22"/>
          <w:szCs w:val="22"/>
        </w:rPr>
        <w:t xml:space="preserve">a user and an investor </w:t>
      </w:r>
      <w:r>
        <w:rPr>
          <w:rFonts w:ascii="Calibri" w:eastAsia="Calibri" w:hAnsi="Calibri" w:cs="Calibri"/>
          <w:sz w:val="22"/>
          <w:szCs w:val="22"/>
        </w:rPr>
        <w:t>in LenderClose.</w:t>
      </w:r>
      <w:r>
        <w:rPr>
          <w:rFonts w:ascii="Calibri" w:eastAsia="Calibri" w:hAnsi="Calibri" w:cs="Calibri"/>
          <w:color w:val="000000"/>
          <w:sz w:val="22"/>
          <w:szCs w:val="22"/>
        </w:rPr>
        <w:t xml:space="preserve"> The </w:t>
      </w:r>
      <w:r>
        <w:rPr>
          <w:rFonts w:ascii="Calibri" w:eastAsia="Calibri" w:hAnsi="Calibri" w:cs="Calibri"/>
          <w:sz w:val="22"/>
          <w:szCs w:val="22"/>
        </w:rPr>
        <w:t>ever-expanding competitive landscape community lenders face in order to meet borrowers’ expectations doesn’t start and end at the point-of-sale application. Borrower experience is a direct reflection of what happe</w:t>
      </w:r>
      <w:r>
        <w:rPr>
          <w:rFonts w:ascii="Calibri" w:eastAsia="Calibri" w:hAnsi="Calibri" w:cs="Calibri"/>
          <w:sz w:val="22"/>
          <w:szCs w:val="22"/>
        </w:rPr>
        <w:t>ns behind the scenes at a financial institution from processing and underwriting to post-close. LenderClose’s vision aligns with the long-term success and vital contributions of traditional lenders to their communities.”</w:t>
      </w:r>
    </w:p>
    <w:p w14:paraId="407AA446" w14:textId="27EFF6AA" w:rsidR="00F81F0B" w:rsidRDefault="001E309F">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Rupert will serve on LenderClose’s </w:t>
      </w:r>
      <w:r>
        <w:rPr>
          <w:rFonts w:ascii="Calibri" w:eastAsia="Calibri" w:hAnsi="Calibri" w:cs="Calibri"/>
          <w:color w:val="000000"/>
          <w:sz w:val="22"/>
          <w:szCs w:val="22"/>
        </w:rPr>
        <w:t>board of directors alongside Jordan and Samantha Paxson, chief experience officer at CO-OP Financial Services; Nick Evens, President at The Veridian Group; Kris Kovacs, President and CEO at Constellation Digital Partners; Scott Hoekman, Co-Founder and Part</w:t>
      </w:r>
      <w:r>
        <w:rPr>
          <w:rFonts w:ascii="Calibri" w:eastAsia="Calibri" w:hAnsi="Calibri" w:cs="Calibri"/>
          <w:color w:val="000000"/>
          <w:sz w:val="22"/>
          <w:szCs w:val="22"/>
        </w:rPr>
        <w:t xml:space="preserve">ner at Next Level Ventures; </w:t>
      </w:r>
      <w:r>
        <w:rPr>
          <w:rFonts w:ascii="Calibri" w:eastAsia="Calibri" w:hAnsi="Calibri" w:cs="Calibri"/>
          <w:color w:val="000000"/>
          <w:sz w:val="22"/>
          <w:szCs w:val="22"/>
        </w:rPr>
        <w:t xml:space="preserve">and, Benjamin Rempe, COO of LenderClose. </w:t>
      </w:r>
    </w:p>
    <w:p w14:paraId="71BABDA6" w14:textId="11FF089E" w:rsidR="00F81F0B" w:rsidRPr="001E309F" w:rsidRDefault="001E309F" w:rsidP="001E309F">
      <w:pPr>
        <w:rPr>
          <w:rFonts w:ascii="Calibri" w:eastAsia="Calibri" w:hAnsi="Calibri" w:cs="Calibri"/>
          <w:color w:val="000000"/>
          <w:sz w:val="22"/>
          <w:szCs w:val="22"/>
          <w:highlight w:val="white"/>
        </w:rPr>
      </w:pPr>
      <w:bookmarkStart w:id="1" w:name="_30j0zll" w:colFirst="0" w:colLast="0"/>
      <w:bookmarkEnd w:id="1"/>
      <w:r>
        <w:rPr>
          <w:rFonts w:ascii="Calibri" w:eastAsia="Calibri" w:hAnsi="Calibri" w:cs="Calibri"/>
          <w:b/>
          <w:sz w:val="22"/>
          <w:szCs w:val="22"/>
          <w:highlight w:val="white"/>
        </w:rPr>
        <w:t>About LenderClose, Inc.</w:t>
      </w:r>
      <w:r>
        <w:rPr>
          <w:rFonts w:ascii="Calibri" w:eastAsia="Calibri" w:hAnsi="Calibri" w:cs="Calibri"/>
          <w:sz w:val="22"/>
          <w:szCs w:val="22"/>
        </w:rPr>
        <w:br/>
      </w:r>
      <w:r>
        <w:rPr>
          <w:rFonts w:ascii="Calibri" w:eastAsia="Calibri" w:hAnsi="Calibri" w:cs="Calibri"/>
          <w:color w:val="000000"/>
          <w:sz w:val="22"/>
          <w:szCs w:val="22"/>
          <w:highlight w:val="white"/>
        </w:rPr>
        <w:t>LenderClose is a technology-focused home equity and real estate lending platform which injects speed and efficiencies into the lending process, greatly enhancing</w:t>
      </w:r>
      <w:r>
        <w:rPr>
          <w:rFonts w:ascii="Calibri" w:eastAsia="Calibri" w:hAnsi="Calibri" w:cs="Calibri"/>
          <w:color w:val="000000"/>
          <w:sz w:val="22"/>
          <w:szCs w:val="22"/>
          <w:highlight w:val="white"/>
        </w:rPr>
        <w:t xml:space="preserve"> the borrowing experience. Based in Des Moines, Iowa, the rapidly growing financial technology company is focused on providing credit unions and community banks innovative lending solutions and automated workflows. To learn more, visit </w:t>
      </w:r>
      <w:hyperlink r:id="rId15">
        <w:r>
          <w:rPr>
            <w:rFonts w:ascii="Calibri" w:eastAsia="Calibri" w:hAnsi="Calibri" w:cs="Calibri"/>
            <w:color w:val="0000FF"/>
            <w:sz w:val="22"/>
            <w:szCs w:val="22"/>
            <w:highlight w:val="white"/>
            <w:u w:val="single"/>
          </w:rPr>
          <w:t>lenderclose.com</w:t>
        </w:r>
      </w:hyperlink>
      <w:r>
        <w:rPr>
          <w:rFonts w:ascii="Calibri" w:eastAsia="Calibri" w:hAnsi="Calibri" w:cs="Calibri"/>
          <w:color w:val="000000"/>
          <w:sz w:val="22"/>
          <w:szCs w:val="22"/>
          <w:highlight w:val="white"/>
        </w:rPr>
        <w:t xml:space="preserve"> or follow us on </w:t>
      </w:r>
      <w:hyperlink r:id="rId16">
        <w:r>
          <w:rPr>
            <w:rFonts w:ascii="Calibri" w:eastAsia="Calibri" w:hAnsi="Calibri" w:cs="Calibri"/>
            <w:color w:val="0000FF"/>
            <w:sz w:val="22"/>
            <w:szCs w:val="22"/>
            <w:highlight w:val="white"/>
            <w:u w:val="single"/>
          </w:rPr>
          <w:t>LinkedIn</w:t>
        </w:r>
      </w:hyperlink>
      <w:r>
        <w:rPr>
          <w:rFonts w:ascii="Calibri" w:eastAsia="Calibri" w:hAnsi="Calibri" w:cs="Calibri"/>
          <w:color w:val="000000"/>
          <w:sz w:val="22"/>
          <w:szCs w:val="22"/>
          <w:highlight w:val="white"/>
        </w:rPr>
        <w:t xml:space="preserve"> or </w:t>
      </w:r>
      <w:hyperlink r:id="rId17">
        <w:r>
          <w:rPr>
            <w:rFonts w:ascii="Calibri" w:eastAsia="Calibri" w:hAnsi="Calibri" w:cs="Calibri"/>
            <w:color w:val="0000FF"/>
            <w:sz w:val="22"/>
            <w:szCs w:val="22"/>
            <w:highlight w:val="white"/>
            <w:u w:val="single"/>
          </w:rPr>
          <w:t>Twit</w:t>
        </w:r>
        <w:r>
          <w:rPr>
            <w:rFonts w:ascii="Calibri" w:eastAsia="Calibri" w:hAnsi="Calibri" w:cs="Calibri"/>
            <w:color w:val="0000FF"/>
            <w:sz w:val="22"/>
            <w:szCs w:val="22"/>
            <w:highlight w:val="white"/>
            <w:u w:val="single"/>
          </w:rPr>
          <w:t>ter</w:t>
        </w:r>
      </w:hyperlink>
      <w:r>
        <w:rPr>
          <w:rFonts w:ascii="Calibri" w:eastAsia="Calibri" w:hAnsi="Calibri" w:cs="Calibri"/>
          <w:color w:val="000000"/>
          <w:sz w:val="22"/>
          <w:szCs w:val="22"/>
          <w:highlight w:val="white"/>
        </w:rPr>
        <w:t>.</w:t>
      </w:r>
    </w:p>
    <w:p w14:paraId="240A7A86" w14:textId="77777777" w:rsidR="00F81F0B" w:rsidRDefault="001E309F">
      <w:pPr>
        <w:pBdr>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w:t>
      </w:r>
    </w:p>
    <w:p w14:paraId="410B2BD7" w14:textId="77777777" w:rsidR="00F81F0B" w:rsidRDefault="00F81F0B">
      <w:pPr>
        <w:pBdr>
          <w:left w:val="nil"/>
          <w:bottom w:val="nil"/>
          <w:right w:val="nil"/>
          <w:between w:val="nil"/>
        </w:pBdr>
        <w:rPr>
          <w:rFonts w:ascii="Calibri" w:eastAsia="Calibri" w:hAnsi="Calibri" w:cs="Calibri"/>
          <w:color w:val="000000"/>
          <w:sz w:val="22"/>
          <w:szCs w:val="22"/>
        </w:rPr>
      </w:pPr>
    </w:p>
    <w:sectPr w:rsidR="00F81F0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0A02" w14:textId="77777777" w:rsidR="00000000" w:rsidRDefault="001E309F">
      <w:r>
        <w:separator/>
      </w:r>
    </w:p>
  </w:endnote>
  <w:endnote w:type="continuationSeparator" w:id="0">
    <w:p w14:paraId="74CE3DA8" w14:textId="77777777" w:rsidR="00000000" w:rsidRDefault="001E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9536" w14:textId="77777777" w:rsidR="00F81F0B" w:rsidRDefault="00F81F0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7946" w14:textId="77777777" w:rsidR="00F81F0B" w:rsidRDefault="00F81F0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FEF5" w14:textId="77777777" w:rsidR="00F81F0B" w:rsidRDefault="00F81F0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148A" w14:textId="77777777" w:rsidR="00000000" w:rsidRDefault="001E309F">
      <w:r>
        <w:separator/>
      </w:r>
    </w:p>
  </w:footnote>
  <w:footnote w:type="continuationSeparator" w:id="0">
    <w:p w14:paraId="3C6A5A68" w14:textId="77777777" w:rsidR="00000000" w:rsidRDefault="001E3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DFE9" w14:textId="77777777" w:rsidR="00F81F0B" w:rsidRDefault="00F81F0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B7DE" w14:textId="77777777" w:rsidR="00F81F0B" w:rsidRDefault="00F81F0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DA76" w14:textId="77777777" w:rsidR="00F81F0B" w:rsidRDefault="00F81F0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0B"/>
    <w:rsid w:val="001E309F"/>
    <w:rsid w:val="003F1C78"/>
    <w:rsid w:val="00F8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5607"/>
  <w15:docId w15:val="{AF7E9A56-6DCB-4F26-90EA-46019712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yesha@williammill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https://twitter.com/LenderClo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lenderclo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nderclose.com/?utm_source=WMA&amp;utm_medium=PR&amp;utm_campaign=Stefanie+Rupert+Board+Member" TargetMode="External"/><Relationship Id="rId23"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linkedin.com/in/stefanie-rupert-2a49a89/"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b55cdae48c973e5204e2ee0462ab49be">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60e3feae8e2c58a7b3c4321d9b05ff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21782-6DFB-4C17-A287-22778980E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71DA0-4257-4C0F-A150-7C27BE5E2FA7}">
  <ds:schemaRefs>
    <ds:schemaRef ds:uri="http://schemas.microsoft.com/sharepoint/v3/contenttype/forms"/>
  </ds:schemaRefs>
</ds:datastoreItem>
</file>

<file path=customXml/itemProps3.xml><?xml version="1.0" encoding="utf-8"?>
<ds:datastoreItem xmlns:ds="http://schemas.openxmlformats.org/officeDocument/2006/customXml" ds:itemID="{404F881E-FE15-4A5D-9E7E-17123C2C539E}">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18afe261-dda2-4c8d-b35c-8a7b9c8eda55"/>
    <ds:schemaRef ds:uri="63a51644-1349-45f7-b125-14e3146891c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Ayesha Jamil</cp:lastModifiedBy>
  <cp:revision>3</cp:revision>
  <dcterms:created xsi:type="dcterms:W3CDTF">2021-04-12T17:33:00Z</dcterms:created>
  <dcterms:modified xsi:type="dcterms:W3CDTF">2021-04-12T17:36:00Z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