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1726" w14:textId="77777777" w:rsidR="00A431AB" w:rsidRDefault="00A431AB" w:rsidP="00120D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14FFEB6" w14:textId="77777777" w:rsidR="00A431AB" w:rsidRDefault="00A431AB" w:rsidP="00120D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9176560" w14:textId="4530997D" w:rsidR="00A431AB" w:rsidRDefault="00A431AB" w:rsidP="00A431AB">
      <w:pPr>
        <w:tabs>
          <w:tab w:val="left" w:pos="6570"/>
          <w:tab w:val="left" w:pos="7380"/>
        </w:tabs>
        <w:rPr>
          <w:sz w:val="24"/>
          <w:szCs w:val="24"/>
        </w:rPr>
      </w:pPr>
      <w:r w:rsidRPr="00316472">
        <w:rPr>
          <w:b/>
          <w:sz w:val="24"/>
          <w:szCs w:val="24"/>
        </w:rPr>
        <w:t>FOR IMMEDIATE RELEAS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Contact: </w:t>
      </w:r>
      <w:r>
        <w:rPr>
          <w:bCs/>
          <w:sz w:val="24"/>
          <w:szCs w:val="24"/>
        </w:rPr>
        <w:t>Claire Natale</w:t>
      </w:r>
      <w:r w:rsidRPr="00EB72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November 9, 2021                                                                                                    </w:t>
      </w:r>
      <w:r w:rsidRPr="009A4072"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202.294.</w:t>
      </w:r>
      <w:bookmarkStart w:id="0" w:name="_SG_570714f896c04f5399f5cd4b199c2a55"/>
      <w:r>
        <w:rPr>
          <w:sz w:val="24"/>
          <w:szCs w:val="24"/>
        </w:rPr>
        <w:t xml:space="preserve">5999                                             </w:t>
      </w:r>
    </w:p>
    <w:p w14:paraId="1F8743B1" w14:textId="0E75F689" w:rsidR="00A431AB" w:rsidRPr="00A431AB" w:rsidRDefault="00A431AB" w:rsidP="00A431AB">
      <w:pPr>
        <w:tabs>
          <w:tab w:val="left" w:pos="6570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B56A2F">
        <w:rPr>
          <w:b/>
          <w:sz w:val="24"/>
          <w:szCs w:val="24"/>
        </w:rPr>
        <w:t>Email</w:t>
      </w:r>
      <w:bookmarkEnd w:id="0"/>
      <w:r w:rsidRPr="00316472">
        <w:rPr>
          <w:b/>
          <w:sz w:val="24"/>
          <w:szCs w:val="24"/>
        </w:rPr>
        <w:t>:</w:t>
      </w:r>
      <w:r w:rsidRPr="00316472">
        <w:rPr>
          <w:sz w:val="24"/>
          <w:szCs w:val="24"/>
        </w:rPr>
        <w:t xml:space="preserve"> </w:t>
      </w:r>
      <w:r>
        <w:rPr>
          <w:sz w:val="24"/>
          <w:szCs w:val="24"/>
        </w:rPr>
        <w:t>claire</w:t>
      </w:r>
      <w:r w:rsidRPr="00316472">
        <w:rPr>
          <w:sz w:val="24"/>
          <w:szCs w:val="24"/>
        </w:rPr>
        <w:t>@evolveprandmarketing.com</w:t>
      </w:r>
      <w:r w:rsidRPr="000122FF">
        <w:rPr>
          <w:b/>
          <w:sz w:val="24"/>
          <w:szCs w:val="24"/>
        </w:rPr>
        <w:tab/>
      </w:r>
    </w:p>
    <w:p w14:paraId="6603AE88" w14:textId="77777777" w:rsidR="00A431AB" w:rsidRDefault="00A431AB" w:rsidP="00120D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17F7766" w14:textId="233C93ED" w:rsidR="000E18FB" w:rsidRDefault="000E18FB" w:rsidP="00120D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TruWest</w:t>
      </w:r>
      <w:r w:rsidRPr="000E18FB">
        <w:rPr>
          <w:rFonts w:ascii="Arial-BoldMT" w:hAnsi="Arial-BoldMT" w:cs="Arial-BoldMT"/>
          <w:b/>
          <w:bCs/>
          <w:color w:val="000000"/>
          <w:sz w:val="24"/>
          <w:szCs w:val="24"/>
          <w:vertAlign w:val="superscript"/>
        </w:rPr>
        <w:t>®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Credit Union </w:t>
      </w:r>
      <w:r w:rsidR="00120DFE">
        <w:rPr>
          <w:rFonts w:ascii="Arial-BoldMT" w:hAnsi="Arial-BoldMT" w:cs="Arial-BoldMT"/>
          <w:b/>
          <w:bCs/>
          <w:color w:val="000000"/>
          <w:sz w:val="24"/>
          <w:szCs w:val="24"/>
        </w:rPr>
        <w:t>Donates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$40,000 </w:t>
      </w:r>
      <w:r w:rsidR="00120DFE">
        <w:rPr>
          <w:rFonts w:ascii="Arial-BoldMT" w:hAnsi="Arial-BoldMT" w:cs="Arial-BoldMT"/>
          <w:b/>
          <w:bCs/>
          <w:color w:val="000000"/>
          <w:sz w:val="24"/>
          <w:szCs w:val="24"/>
        </w:rPr>
        <w:t>G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rant to Mesa Community College First Year</w:t>
      </w:r>
      <w:r w:rsidR="00120DF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Experience Program</w:t>
      </w:r>
    </w:p>
    <w:p w14:paraId="22FE3400" w14:textId="77777777" w:rsidR="00120DFE" w:rsidRDefault="00120DFE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B475DBA" w14:textId="3243A6CE" w:rsidR="000E18FB" w:rsidRDefault="00120DFE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</w:t>
      </w:r>
      <w:r w:rsidR="000E18FB">
        <w:rPr>
          <w:rFonts w:ascii="ArialMT" w:hAnsi="ArialMT" w:cs="ArialMT"/>
          <w:color w:val="000000"/>
          <w:sz w:val="24"/>
          <w:szCs w:val="24"/>
        </w:rPr>
        <w:t xml:space="preserve">ruWest Credit Union </w:t>
      </w:r>
      <w:r>
        <w:rPr>
          <w:rFonts w:ascii="ArialMT" w:hAnsi="ArialMT" w:cs="ArialMT"/>
          <w:color w:val="000000"/>
          <w:sz w:val="24"/>
          <w:szCs w:val="24"/>
        </w:rPr>
        <w:t>continues to strengthen its partnership with Mesa Community College and</w:t>
      </w:r>
      <w:r w:rsidR="000E18FB">
        <w:rPr>
          <w:rFonts w:ascii="ArialMT" w:hAnsi="ArialMT" w:cs="ArialMT"/>
          <w:color w:val="000000"/>
          <w:sz w:val="24"/>
          <w:szCs w:val="24"/>
        </w:rPr>
        <w:t xml:space="preserve"> support</w:t>
      </w:r>
      <w:r>
        <w:rPr>
          <w:rFonts w:ascii="ArialMT" w:hAnsi="ArialMT" w:cs="ArialMT"/>
          <w:color w:val="000000"/>
          <w:sz w:val="24"/>
          <w:szCs w:val="24"/>
        </w:rPr>
        <w:t>ing</w:t>
      </w:r>
      <w:r w:rsidR="000E18FB">
        <w:rPr>
          <w:rFonts w:ascii="ArialMT" w:hAnsi="ArialMT" w:cs="ArialMT"/>
          <w:color w:val="000000"/>
          <w:sz w:val="24"/>
          <w:szCs w:val="24"/>
        </w:rPr>
        <w:t xml:space="preserve"> students participating in </w:t>
      </w:r>
      <w:r>
        <w:rPr>
          <w:rFonts w:ascii="ArialMT" w:hAnsi="ArialMT" w:cs="ArialMT"/>
          <w:color w:val="000000"/>
          <w:sz w:val="24"/>
          <w:szCs w:val="24"/>
        </w:rPr>
        <w:t xml:space="preserve">the </w:t>
      </w:r>
      <w:r w:rsidR="000E18FB">
        <w:rPr>
          <w:rFonts w:ascii="ArialMT" w:hAnsi="ArialMT" w:cs="ArialMT"/>
          <w:color w:val="000000"/>
          <w:sz w:val="24"/>
          <w:szCs w:val="24"/>
        </w:rPr>
        <w:t>First Year Experience program.</w:t>
      </w:r>
    </w:p>
    <w:p w14:paraId="0E9ACBEB" w14:textId="77777777" w:rsidR="00120DFE" w:rsidRDefault="00120DFE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BE381E3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support includes in-kind financial literacy workshops for program participants and</w:t>
      </w:r>
    </w:p>
    <w:p w14:paraId="21FAA8B9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their parents and a $40,000 grant covering tuition and fees.</w:t>
      </w:r>
    </w:p>
    <w:p w14:paraId="28279115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0F59E3C" w14:textId="44935053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MCC First Year Experience (FY</w:t>
      </w:r>
      <w:r w:rsidR="00120DFE">
        <w:rPr>
          <w:rFonts w:ascii="ArialMT" w:hAnsi="ArialMT" w:cs="ArialMT"/>
          <w:color w:val="000000"/>
          <w:sz w:val="24"/>
          <w:szCs w:val="24"/>
        </w:rPr>
        <w:t>E</w:t>
      </w:r>
      <w:r>
        <w:rPr>
          <w:rFonts w:ascii="ArialMT" w:hAnsi="ArialMT" w:cs="ArialMT"/>
          <w:color w:val="000000"/>
          <w:sz w:val="24"/>
          <w:szCs w:val="24"/>
        </w:rPr>
        <w:t>) is a year-long college program focused on</w:t>
      </w:r>
    </w:p>
    <w:p w14:paraId="39C421D7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providing first-year students with the services and support needed to successfully</w:t>
      </w:r>
    </w:p>
    <w:p w14:paraId="3452F7DE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transition to college. Participants must have attended one of six high schools in the</w:t>
      </w:r>
    </w:p>
    <w:p w14:paraId="6DFBD36A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Mesa Public Schools system and may be first generation students or students in need</w:t>
      </w:r>
    </w:p>
    <w:p w14:paraId="70EA8C8E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 additional academic support in English, math and reading. TruWest’s continued</w:t>
      </w:r>
    </w:p>
    <w:p w14:paraId="711F17F2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generosity covers course fees and textbook scholarships for approximately 50</w:t>
      </w:r>
    </w:p>
    <w:p w14:paraId="50E6A290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participating students during the 2021-2022 academic year.</w:t>
      </w:r>
    </w:p>
    <w:p w14:paraId="3AF74DB2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C6C8845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“TruWest is dedicated to being an integral part of the success of our community,” said</w:t>
      </w:r>
    </w:p>
    <w:p w14:paraId="7CDE2F6D" w14:textId="02B20AF2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Gary Bernard, chief operations officer</w:t>
      </w:r>
      <w:r w:rsidR="00120DFE">
        <w:rPr>
          <w:rFonts w:ascii="ArialMT" w:hAnsi="ArialMT" w:cs="ArialMT"/>
          <w:color w:val="000000"/>
          <w:sz w:val="24"/>
          <w:szCs w:val="24"/>
        </w:rPr>
        <w:t xml:space="preserve"> at TruWest Credit Union</w:t>
      </w:r>
      <w:r>
        <w:rPr>
          <w:rFonts w:ascii="ArialMT" w:hAnsi="ArialMT" w:cs="ArialMT"/>
          <w:color w:val="000000"/>
          <w:sz w:val="24"/>
          <w:szCs w:val="24"/>
        </w:rPr>
        <w:t>. “We’ve been involved with</w:t>
      </w:r>
      <w:r w:rsidR="00120DF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the First Year Experience since 2019 and have learned firsthand from the students how</w:t>
      </w:r>
      <w:r w:rsidR="00120DF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beneficial the program is </w:t>
      </w:r>
      <w:r w:rsidR="00120DFE">
        <w:rPr>
          <w:rFonts w:ascii="ArialMT" w:hAnsi="ArialMT" w:cs="ArialMT"/>
          <w:color w:val="000000"/>
          <w:sz w:val="24"/>
          <w:szCs w:val="24"/>
        </w:rPr>
        <w:t>to</w:t>
      </w:r>
      <w:r>
        <w:rPr>
          <w:rFonts w:ascii="ArialMT" w:hAnsi="ArialMT" w:cs="ArialMT"/>
          <w:color w:val="000000"/>
          <w:sz w:val="24"/>
          <w:szCs w:val="24"/>
        </w:rPr>
        <w:t xml:space="preserve"> their successful transition to college -- especially when other</w:t>
      </w:r>
      <w:r w:rsidR="00120DF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family members haven’t experienced college. This is why we involve family members in</w:t>
      </w:r>
      <w:r w:rsidR="00120DF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the financial literacy workshops</w:t>
      </w:r>
      <w:r w:rsidR="00120DFE">
        <w:rPr>
          <w:rFonts w:ascii="ArialMT" w:hAnsi="ArialMT" w:cs="ArialMT"/>
          <w:color w:val="000000"/>
          <w:sz w:val="24"/>
          <w:szCs w:val="24"/>
        </w:rPr>
        <w:t>. Including the student’s support group gives additional aid and encourages the college experience.”</w:t>
      </w:r>
    </w:p>
    <w:p w14:paraId="72CE67C0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36F1407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From Fall 2019 through Fall 2021 TruWest provided 179 FYE students with 239</w:t>
      </w:r>
    </w:p>
    <w:p w14:paraId="07604450" w14:textId="324876D5" w:rsidR="000E18FB" w:rsidRDefault="00120DFE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</w:t>
      </w:r>
      <w:r w:rsidR="000E18FB">
        <w:rPr>
          <w:rFonts w:ascii="ArialMT" w:hAnsi="ArialMT" w:cs="ArialMT"/>
          <w:color w:val="000000"/>
          <w:sz w:val="24"/>
          <w:szCs w:val="24"/>
        </w:rPr>
        <w:t>cholarships</w:t>
      </w:r>
      <w:r>
        <w:rPr>
          <w:rFonts w:ascii="ArialMT" w:hAnsi="ArialMT" w:cs="ArialMT"/>
          <w:color w:val="000000"/>
          <w:sz w:val="24"/>
          <w:szCs w:val="24"/>
        </w:rPr>
        <w:t xml:space="preserve">, totally </w:t>
      </w:r>
      <w:r w:rsidR="000E18FB">
        <w:rPr>
          <w:rFonts w:ascii="ArialMT" w:hAnsi="ArialMT" w:cs="ArialMT"/>
          <w:color w:val="000000"/>
          <w:sz w:val="24"/>
          <w:szCs w:val="24"/>
        </w:rPr>
        <w:t>more than $73,680 and provided stipends for student leaders</w:t>
      </w:r>
    </w:p>
    <w:p w14:paraId="1329569B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serving as FYE ambassadors.</w:t>
      </w:r>
    </w:p>
    <w:p w14:paraId="33EC2BDC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65B6F91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“TruWest continues to be an amazing champion and benefactor for student success at</w:t>
      </w:r>
    </w:p>
    <w:p w14:paraId="7CD3BC94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MCC,” said MCC Director of Foundations for Student Success, Melissa Carpenter.</w:t>
      </w:r>
    </w:p>
    <w:p w14:paraId="61F66EBA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“Their support provides stability for our students so they can focus on learning. We truly</w:t>
      </w:r>
    </w:p>
    <w:p w14:paraId="4602C43D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enjoy our partnership with TruWest and appreciate their continued commitment to our</w:t>
      </w:r>
    </w:p>
    <w:p w14:paraId="732F3CDC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students and their dreams to achieve an MCC education.”</w:t>
      </w:r>
    </w:p>
    <w:p w14:paraId="763EC8EB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1AEC918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Learn more about the MCC First Year Experience at </w:t>
      </w:r>
      <w:r>
        <w:rPr>
          <w:rFonts w:ascii="ArialMT" w:hAnsi="ArialMT" w:cs="ArialMT"/>
          <w:color w:val="1155CD"/>
          <w:sz w:val="24"/>
          <w:szCs w:val="24"/>
        </w:rPr>
        <w:t>mesacc.edu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14:paraId="096582F3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</w:p>
    <w:p w14:paraId="165D66F7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# # #</w:t>
      </w:r>
    </w:p>
    <w:p w14:paraId="4FE75ED4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A2DDD21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 xml:space="preserve">TruWest® Credit Union </w:t>
      </w:r>
      <w:r>
        <w:rPr>
          <w:rFonts w:ascii="ArialMT" w:hAnsi="ArialMT" w:cs="ArialMT"/>
          <w:color w:val="584B48"/>
          <w:sz w:val="24"/>
          <w:szCs w:val="24"/>
        </w:rPr>
        <w:t>is headquartered in Tempe, Arizona, and operates as a</w:t>
      </w:r>
    </w:p>
    <w:p w14:paraId="4C892D54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cooperative providing its members with a lifetime of quality financial services and a</w:t>
      </w:r>
    </w:p>
    <w:p w14:paraId="459CD08C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culture of caring for its members, employees and communities. TruWest is a strong and</w:t>
      </w:r>
    </w:p>
    <w:p w14:paraId="2BF96D51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sound financial institution with more than 93,000 members and assets totaling more</w:t>
      </w:r>
    </w:p>
    <w:p w14:paraId="1AE389D4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than $1.5 billion. TruWest® Credit Union has 12 branch locations – eight in metro</w:t>
      </w:r>
    </w:p>
    <w:p w14:paraId="262B55D8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 xml:space="preserve">Phoenix and four in Austin, Texas. For more information visit </w:t>
      </w:r>
      <w:r>
        <w:rPr>
          <w:rFonts w:ascii="ArialMT" w:hAnsi="ArialMT" w:cs="ArialMT"/>
          <w:color w:val="004C98"/>
          <w:sz w:val="24"/>
          <w:szCs w:val="24"/>
        </w:rPr>
        <w:t>truwest.org</w:t>
      </w:r>
      <w:r>
        <w:rPr>
          <w:rFonts w:ascii="ArialMT" w:hAnsi="ArialMT" w:cs="ArialMT"/>
          <w:color w:val="584B48"/>
          <w:sz w:val="24"/>
          <w:szCs w:val="24"/>
        </w:rPr>
        <w:t>.</w:t>
      </w:r>
    </w:p>
    <w:p w14:paraId="6789126A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</w:p>
    <w:p w14:paraId="10944946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Mesa Community College </w:t>
      </w:r>
      <w:r>
        <w:rPr>
          <w:rFonts w:ascii="ArialMT" w:hAnsi="ArialMT" w:cs="ArialMT"/>
          <w:color w:val="584B48"/>
          <w:sz w:val="24"/>
          <w:szCs w:val="24"/>
        </w:rPr>
        <w:t>is nationally recognized as an Aspen Prize Top 150 U.S.</w:t>
      </w:r>
    </w:p>
    <w:p w14:paraId="23CBB0F6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Community College and is known for service learning, career and technical programs,</w:t>
      </w:r>
    </w:p>
    <w:p w14:paraId="58509F7D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civic engagement and innovative approaches to education. For more than 50 years, the</w:t>
      </w:r>
    </w:p>
    <w:p w14:paraId="28035B40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college has served as a resource for career readiness, transfer education, workforce</w:t>
      </w:r>
    </w:p>
    <w:p w14:paraId="23D05BC0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development and lifelong learning. Host to more than 30,000 students annually, MCC</w:t>
      </w:r>
    </w:p>
    <w:p w14:paraId="0B5CA2C1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offers degree and certificate programs at its two campuses, additional locations and a</w:t>
      </w:r>
    </w:p>
    <w:p w14:paraId="7BDC7CF5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combination of online formats. Through Guided Pathways with Integrated Support</w:t>
      </w:r>
    </w:p>
    <w:p w14:paraId="54B2C1B5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Services and a commitment to diversity, equity and inclusion, MCC is transforming how</w:t>
      </w:r>
    </w:p>
    <w:p w14:paraId="68BE1C96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it champions student success, college completion, university transfer and career</w:t>
      </w:r>
    </w:p>
    <w:p w14:paraId="605B8C8B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attainment and advancement. MCC is a Hispanic Serving Institution and nearly 50% of</w:t>
      </w:r>
    </w:p>
    <w:p w14:paraId="332B9979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its students are the first in their families to attend college. Its American Indian Institute</w:t>
      </w:r>
    </w:p>
    <w:p w14:paraId="2AAB7CCB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serves students from the 22 federally recognized tribes of Arizona as well as</w:t>
      </w:r>
    </w:p>
    <w:p w14:paraId="0FDF3651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out-of-state tribes. MCC has the largest indigenous student population of all the</w:t>
      </w:r>
    </w:p>
    <w:p w14:paraId="0133683E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Maricopa Community Colleges. The diverse student body includes more than 300</w:t>
      </w:r>
    </w:p>
    <w:p w14:paraId="2C32C973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international students from 55 countries. Award-winning faculty are dedicated to student</w:t>
      </w:r>
    </w:p>
    <w:p w14:paraId="3366F9BA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success, providing the education and training that empowers MCC students to</w:t>
      </w:r>
    </w:p>
    <w:p w14:paraId="10871559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successfully transfer to a university or compete in the workforce. Located in the East</w:t>
      </w:r>
    </w:p>
    <w:p w14:paraId="294ABF14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Valley of Phoenix, Arizona, on the traditional territories of the O'odham, Piipaash and</w:t>
      </w:r>
    </w:p>
    <w:p w14:paraId="339125E4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>Yavapai Peoples, MCC is one of 10 colleges in the Maricopa County Community</w:t>
      </w:r>
    </w:p>
    <w:p w14:paraId="62675FD3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  <w:r>
        <w:rPr>
          <w:rFonts w:ascii="ArialMT" w:hAnsi="ArialMT" w:cs="ArialMT"/>
          <w:color w:val="584B48"/>
          <w:sz w:val="24"/>
          <w:szCs w:val="24"/>
        </w:rPr>
        <w:t xml:space="preserve">College District. Visit </w:t>
      </w:r>
      <w:r>
        <w:rPr>
          <w:rFonts w:ascii="ArialMT" w:hAnsi="ArialMT" w:cs="ArialMT"/>
          <w:color w:val="004C98"/>
          <w:sz w:val="24"/>
          <w:szCs w:val="24"/>
        </w:rPr>
        <w:t xml:space="preserve">mesacc.edu </w:t>
      </w:r>
      <w:r>
        <w:rPr>
          <w:rFonts w:ascii="ArialMT" w:hAnsi="ArialMT" w:cs="ArialMT"/>
          <w:color w:val="584B48"/>
          <w:sz w:val="24"/>
          <w:szCs w:val="24"/>
        </w:rPr>
        <w:t>to learn more.</w:t>
      </w:r>
    </w:p>
    <w:p w14:paraId="32D4087E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4B48"/>
          <w:sz w:val="24"/>
          <w:szCs w:val="24"/>
        </w:rPr>
      </w:pPr>
    </w:p>
    <w:p w14:paraId="0B569C0C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4C9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 xml:space="preserve">Mesa Community College is accredited by the </w:t>
      </w:r>
      <w:r>
        <w:rPr>
          <w:rFonts w:ascii="Arial-ItalicMT" w:hAnsi="Arial-ItalicMT" w:cs="Arial-ItalicMT"/>
          <w:i/>
          <w:iCs/>
          <w:color w:val="004C98"/>
          <w:sz w:val="24"/>
          <w:szCs w:val="24"/>
        </w:rPr>
        <w:t>Higher Learning Commission (HLC) --</w:t>
      </w:r>
    </w:p>
    <w:p w14:paraId="14AD3CC6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4C98"/>
          <w:sz w:val="24"/>
          <w:szCs w:val="24"/>
        </w:rPr>
        <w:t>hlcommission.org</w:t>
      </w: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.</w:t>
      </w:r>
    </w:p>
    <w:p w14:paraId="5501252F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</w:p>
    <w:p w14:paraId="27FC7130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The Maricopa County Community College District (MCCCD) is an EEO/AA institution</w:t>
      </w:r>
    </w:p>
    <w:p w14:paraId="1A8F149C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and an equal opportunity employer of protected veterans and individuals with</w:t>
      </w:r>
    </w:p>
    <w:p w14:paraId="7E1653CC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disabilities. All qualified applicants will receive consideration for employment without</w:t>
      </w:r>
    </w:p>
    <w:p w14:paraId="3999C2FA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regard to race, color, religion, sex, sexual orientation, gender identity, age, or national</w:t>
      </w:r>
    </w:p>
    <w:p w14:paraId="5AD9D30D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origin. A lack of English language skills will not be a barrier to admission and</w:t>
      </w:r>
    </w:p>
    <w:p w14:paraId="71827894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participation in the career and technical education programs of the District. MCCCD</w:t>
      </w:r>
    </w:p>
    <w:p w14:paraId="3558C452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does not discriminate on the basis of race, color, national origin, sex, disability or age in</w:t>
      </w:r>
    </w:p>
    <w:p w14:paraId="29704FB0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its programs or activities. For Title IX/504 concerns, call the following number to reach</w:t>
      </w:r>
    </w:p>
    <w:p w14:paraId="54ADDADE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the appointed coordinator: (480) 731-8499. For additional information, as well as a</w:t>
      </w:r>
    </w:p>
    <w:p w14:paraId="2CB25EE0" w14:textId="77777777" w:rsidR="000E18FB" w:rsidRDefault="000E18FB" w:rsidP="000E1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4B48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listing of all coordinators within the Maricopa College system, visit</w:t>
      </w:r>
    </w:p>
    <w:p w14:paraId="51EE8440" w14:textId="77777777" w:rsidR="0080069E" w:rsidRDefault="000E18FB" w:rsidP="000E18FB">
      <w:r>
        <w:rPr>
          <w:rFonts w:ascii="Arial-ItalicMT" w:hAnsi="Arial-ItalicMT" w:cs="Arial-ItalicMT"/>
          <w:i/>
          <w:iCs/>
          <w:color w:val="004C98"/>
          <w:sz w:val="24"/>
          <w:szCs w:val="24"/>
        </w:rPr>
        <w:t>http://www.maricopa.edu/non-discrimination</w:t>
      </w:r>
      <w:r>
        <w:rPr>
          <w:rFonts w:ascii="Arial-ItalicMT" w:hAnsi="Arial-ItalicMT" w:cs="Arial-ItalicMT"/>
          <w:i/>
          <w:iCs/>
          <w:color w:val="584B48"/>
          <w:sz w:val="24"/>
          <w:szCs w:val="24"/>
        </w:rPr>
        <w:t>.</w:t>
      </w:r>
    </w:p>
    <w:sectPr w:rsidR="008006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164B" w14:textId="77777777" w:rsidR="00A6102D" w:rsidRDefault="00A6102D" w:rsidP="00A431AB">
      <w:pPr>
        <w:spacing w:after="0" w:line="240" w:lineRule="auto"/>
      </w:pPr>
      <w:r>
        <w:separator/>
      </w:r>
    </w:p>
  </w:endnote>
  <w:endnote w:type="continuationSeparator" w:id="0">
    <w:p w14:paraId="0872EE90" w14:textId="77777777" w:rsidR="00A6102D" w:rsidRDefault="00A6102D" w:rsidP="00A4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033F" w14:textId="77777777" w:rsidR="00A6102D" w:rsidRDefault="00A6102D" w:rsidP="00A431AB">
      <w:pPr>
        <w:spacing w:after="0" w:line="240" w:lineRule="auto"/>
      </w:pPr>
      <w:r>
        <w:separator/>
      </w:r>
    </w:p>
  </w:footnote>
  <w:footnote w:type="continuationSeparator" w:id="0">
    <w:p w14:paraId="1A04D885" w14:textId="77777777" w:rsidR="00A6102D" w:rsidRDefault="00A6102D" w:rsidP="00A4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C1C3" w14:textId="587FAD09" w:rsidR="00A431AB" w:rsidRDefault="00A431A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1E1FD1" wp14:editId="5C6B79BD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704975" cy="710406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10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CAB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D6A3107" wp14:editId="22390427">
          <wp:simplePos x="0" y="0"/>
          <wp:positionH relativeFrom="column">
            <wp:posOffset>4200525</wp:posOffset>
          </wp:positionH>
          <wp:positionV relativeFrom="paragraph">
            <wp:posOffset>-257175</wp:posOffset>
          </wp:positionV>
          <wp:extent cx="1842135" cy="695325"/>
          <wp:effectExtent l="0" t="0" r="5715" b="9525"/>
          <wp:wrapNone/>
          <wp:docPr id="2" name="Picture 2" descr="evolv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olve_logo_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bewMDO2MDc3tTRQ0lEKTi0uzszPAykwqgUApjmuxywAAAA="/>
  </w:docVars>
  <w:rsids>
    <w:rsidRoot w:val="000E18FB"/>
    <w:rsid w:val="000E18FB"/>
    <w:rsid w:val="00120DFE"/>
    <w:rsid w:val="0039231E"/>
    <w:rsid w:val="00617692"/>
    <w:rsid w:val="00A431AB"/>
    <w:rsid w:val="00A6102D"/>
    <w:rsid w:val="00C1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D9CF9"/>
  <w15:chartTrackingRefBased/>
  <w15:docId w15:val="{67E89CF5-4781-422B-863B-F355804A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AB"/>
  </w:style>
  <w:style w:type="paragraph" w:styleId="Footer">
    <w:name w:val="footer"/>
    <w:basedOn w:val="Normal"/>
    <w:link w:val="FooterChar"/>
    <w:uiPriority w:val="99"/>
    <w:unhideWhenUsed/>
    <w:rsid w:val="00A43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 Mike</dc:creator>
  <cp:keywords/>
  <dc:description/>
  <cp:lastModifiedBy>Claire Natale</cp:lastModifiedBy>
  <cp:revision>3</cp:revision>
  <dcterms:created xsi:type="dcterms:W3CDTF">2021-11-09T19:07:00Z</dcterms:created>
  <dcterms:modified xsi:type="dcterms:W3CDTF">2021-11-09T19:40:00Z</dcterms:modified>
</cp:coreProperties>
</file>