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23EAE" w14:textId="77777777" w:rsidR="00BC444C" w:rsidRPr="00BC444C" w:rsidRDefault="00BC444C" w:rsidP="00BC444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BC444C">
        <w:rPr>
          <w:rStyle w:val="normaltextrun"/>
          <w:rFonts w:ascii="Arial" w:hAnsi="Arial" w:cs="Arial"/>
          <w:b/>
          <w:bCs/>
          <w:sz w:val="22"/>
          <w:szCs w:val="22"/>
        </w:rPr>
        <w:t>Media Contact:</w:t>
      </w:r>
      <w:r w:rsidRPr="00BC444C">
        <w:rPr>
          <w:rStyle w:val="eop"/>
          <w:rFonts w:ascii="Arial" w:hAnsi="Arial" w:cs="Arial"/>
          <w:sz w:val="22"/>
          <w:szCs w:val="22"/>
        </w:rPr>
        <w:t> </w:t>
      </w:r>
    </w:p>
    <w:p w14:paraId="20DB65B7" w14:textId="77777777" w:rsidR="00BC444C" w:rsidRPr="00BC444C" w:rsidRDefault="00BC444C" w:rsidP="00BC444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BC444C">
        <w:rPr>
          <w:rStyle w:val="normaltextrun"/>
          <w:rFonts w:ascii="Arial" w:hAnsi="Arial" w:cs="Arial"/>
          <w:sz w:val="22"/>
          <w:szCs w:val="22"/>
        </w:rPr>
        <w:t>Amber Bush</w:t>
      </w:r>
      <w:r w:rsidRPr="00BC444C">
        <w:rPr>
          <w:rStyle w:val="eop"/>
          <w:rFonts w:ascii="Arial" w:hAnsi="Arial" w:cs="Arial"/>
          <w:sz w:val="22"/>
          <w:szCs w:val="22"/>
        </w:rPr>
        <w:t> </w:t>
      </w:r>
    </w:p>
    <w:p w14:paraId="1BD9E26B" w14:textId="77777777" w:rsidR="00BC444C" w:rsidRPr="00BC444C" w:rsidRDefault="00BC444C" w:rsidP="00BC444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BC444C">
        <w:rPr>
          <w:rStyle w:val="normaltextrun"/>
          <w:rFonts w:ascii="Arial" w:hAnsi="Arial" w:cs="Arial"/>
          <w:sz w:val="22"/>
          <w:szCs w:val="22"/>
        </w:rPr>
        <w:t>706.248.6272</w:t>
      </w:r>
      <w:r w:rsidRPr="00BC444C">
        <w:rPr>
          <w:rStyle w:val="eop"/>
          <w:rFonts w:ascii="Arial" w:hAnsi="Arial" w:cs="Arial"/>
          <w:sz w:val="22"/>
          <w:szCs w:val="22"/>
        </w:rPr>
        <w:t> </w:t>
      </w:r>
    </w:p>
    <w:p w14:paraId="10CFDA8C" w14:textId="77777777" w:rsidR="00BC444C" w:rsidRPr="00BC444C" w:rsidRDefault="00BC444C" w:rsidP="00BC444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hyperlink r:id="rId4" w:tgtFrame="_blank" w:history="1">
        <w:r w:rsidRPr="00BC444C"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amber@williammills.com</w:t>
        </w:r>
      </w:hyperlink>
      <w:r w:rsidRPr="00BC444C">
        <w:rPr>
          <w:rStyle w:val="normaltextrun"/>
          <w:rFonts w:ascii="Arial" w:hAnsi="Arial" w:cs="Arial"/>
          <w:sz w:val="22"/>
          <w:szCs w:val="22"/>
        </w:rPr>
        <w:t> </w:t>
      </w:r>
      <w:r w:rsidRPr="00BC444C">
        <w:rPr>
          <w:rStyle w:val="eop"/>
          <w:rFonts w:ascii="Arial" w:hAnsi="Arial" w:cs="Arial"/>
          <w:sz w:val="22"/>
          <w:szCs w:val="22"/>
        </w:rPr>
        <w:t> </w:t>
      </w:r>
    </w:p>
    <w:p w14:paraId="0E30D614" w14:textId="77777777" w:rsidR="00BC444C" w:rsidRPr="00BC444C" w:rsidRDefault="00BC444C" w:rsidP="00BC444C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b/>
          <w:bCs/>
          <w:color w:val="444444"/>
        </w:rPr>
      </w:pPr>
    </w:p>
    <w:p w14:paraId="513FD2E4" w14:textId="775EE2D4" w:rsidR="00BC444C" w:rsidRPr="00BC444C" w:rsidRDefault="00BC444C" w:rsidP="00BC444C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b/>
          <w:bCs/>
        </w:rPr>
      </w:pPr>
      <w:r w:rsidRPr="00BC444C">
        <w:rPr>
          <w:rFonts w:ascii="Arial" w:hAnsi="Arial" w:cs="Arial"/>
          <w:b/>
          <w:bCs/>
        </w:rPr>
        <w:t xml:space="preserve">NCR Completes Acquisition of Cryptocurrency Leader </w:t>
      </w:r>
      <w:proofErr w:type="spellStart"/>
      <w:r w:rsidRPr="00BC444C">
        <w:rPr>
          <w:rFonts w:ascii="Arial" w:hAnsi="Arial" w:cs="Arial"/>
          <w:b/>
          <w:bCs/>
        </w:rPr>
        <w:t>LibertyX</w:t>
      </w:r>
      <w:proofErr w:type="spellEnd"/>
    </w:p>
    <w:p w14:paraId="188A581C" w14:textId="77777777" w:rsidR="00BC444C" w:rsidRPr="00BC444C" w:rsidRDefault="00BC444C" w:rsidP="00BC444C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b/>
          <w:bCs/>
        </w:rPr>
      </w:pPr>
    </w:p>
    <w:p w14:paraId="0E62F780" w14:textId="77777777" w:rsidR="00BC444C" w:rsidRPr="00BC444C" w:rsidRDefault="00BC444C" w:rsidP="00BC444C">
      <w:pPr>
        <w:pStyle w:val="NormalWeb"/>
        <w:shd w:val="clear" w:color="auto" w:fill="FEFEFE"/>
        <w:spacing w:before="0" w:beforeAutospacing="0" w:after="360" w:afterAutospacing="0"/>
        <w:rPr>
          <w:rFonts w:ascii="Arial" w:hAnsi="Arial" w:cs="Arial"/>
        </w:rPr>
      </w:pPr>
      <w:r w:rsidRPr="00BC444C">
        <w:rPr>
          <w:rFonts w:ascii="Arial" w:hAnsi="Arial" w:cs="Arial"/>
        </w:rPr>
        <w:t>ATLANTA-- NCR Corporation (NYSE: NCR), a global enterprise technology provider, today announced the completion of the previously announced transaction to acquire </w:t>
      </w:r>
      <w:proofErr w:type="spellStart"/>
      <w:r w:rsidRPr="00BC444C">
        <w:rPr>
          <w:rFonts w:ascii="Arial" w:hAnsi="Arial" w:cs="Arial"/>
          <w:color w:val="444444"/>
        </w:rPr>
        <w:fldChar w:fldCharType="begin"/>
      </w:r>
      <w:r w:rsidRPr="00BC444C">
        <w:rPr>
          <w:rFonts w:ascii="Arial" w:hAnsi="Arial" w:cs="Arial"/>
          <w:color w:val="444444"/>
        </w:rPr>
        <w:instrText xml:space="preserve"> HYPERLINK "https://cts.businesswire.com/ct/CT?id=smartlink&amp;url=https%3A%2F%2Flibertyx.com%2F&amp;esheet=52562771&amp;newsitemid=20220113005846&amp;lan=en-US&amp;anchor=LibertyX&amp;index=1&amp;md5=89ee2f67710c7265471771637500735a" \t "_blank" </w:instrText>
      </w:r>
      <w:r w:rsidRPr="00BC444C">
        <w:rPr>
          <w:rFonts w:ascii="Arial" w:hAnsi="Arial" w:cs="Arial"/>
          <w:color w:val="444444"/>
        </w:rPr>
        <w:fldChar w:fldCharType="separate"/>
      </w:r>
      <w:r w:rsidRPr="00BC444C">
        <w:rPr>
          <w:rStyle w:val="Hyperlink"/>
          <w:rFonts w:ascii="Arial" w:hAnsi="Arial" w:cs="Arial"/>
          <w:color w:val="499ED6"/>
        </w:rPr>
        <w:t>LibertyX</w:t>
      </w:r>
      <w:proofErr w:type="spellEnd"/>
      <w:r w:rsidRPr="00BC444C">
        <w:rPr>
          <w:rFonts w:ascii="Arial" w:hAnsi="Arial" w:cs="Arial"/>
          <w:color w:val="444444"/>
        </w:rPr>
        <w:fldChar w:fldCharType="end"/>
      </w:r>
      <w:r w:rsidRPr="00BC444C">
        <w:rPr>
          <w:rFonts w:ascii="Arial" w:hAnsi="Arial" w:cs="Arial"/>
          <w:color w:val="444444"/>
        </w:rPr>
        <w:t xml:space="preserve">, </w:t>
      </w:r>
      <w:r w:rsidRPr="00BC444C">
        <w:rPr>
          <w:rFonts w:ascii="Arial" w:hAnsi="Arial" w:cs="Arial"/>
        </w:rPr>
        <w:t xml:space="preserve">a leading cryptocurrency software provider. </w:t>
      </w:r>
      <w:proofErr w:type="spellStart"/>
      <w:r w:rsidRPr="00BC444C">
        <w:rPr>
          <w:rFonts w:ascii="Arial" w:hAnsi="Arial" w:cs="Arial"/>
        </w:rPr>
        <w:t>LibertyX</w:t>
      </w:r>
      <w:proofErr w:type="spellEnd"/>
      <w:r w:rsidRPr="00BC444C">
        <w:rPr>
          <w:rFonts w:ascii="Arial" w:hAnsi="Arial" w:cs="Arial"/>
        </w:rPr>
        <w:t xml:space="preserve"> is a strong strategic fit for NCR because it accelerates NCR’s ability to rapidly deliver a complete digital currency solution to its customers, including the ability to buy and sell cryptocurrency, conduct cross-border remittance, and accept digital currency payments across digital and physical channels.</w:t>
      </w:r>
    </w:p>
    <w:p w14:paraId="05BDAE5D" w14:textId="77777777" w:rsidR="00BC444C" w:rsidRPr="00BC444C" w:rsidRDefault="00BC444C" w:rsidP="00BC444C">
      <w:pPr>
        <w:pStyle w:val="NormalWeb"/>
        <w:shd w:val="clear" w:color="auto" w:fill="FEFEFE"/>
        <w:spacing w:before="0" w:beforeAutospacing="0" w:after="360" w:afterAutospacing="0"/>
        <w:rPr>
          <w:rFonts w:ascii="Arial" w:hAnsi="Arial" w:cs="Arial"/>
        </w:rPr>
      </w:pPr>
      <w:r w:rsidRPr="00BC444C">
        <w:rPr>
          <w:rFonts w:ascii="Arial" w:hAnsi="Arial" w:cs="Arial"/>
        </w:rPr>
        <w:t xml:space="preserve">“The completion of this transaction enhances our ability to provide digital currency solutions and capabilities that help run our customers’ businesses,” said Don </w:t>
      </w:r>
      <w:proofErr w:type="spellStart"/>
      <w:r w:rsidRPr="00BC444C">
        <w:rPr>
          <w:rFonts w:ascii="Arial" w:hAnsi="Arial" w:cs="Arial"/>
        </w:rPr>
        <w:t>Layden</w:t>
      </w:r>
      <w:proofErr w:type="spellEnd"/>
      <w:r w:rsidRPr="00BC444C">
        <w:rPr>
          <w:rFonts w:ascii="Arial" w:hAnsi="Arial" w:cs="Arial"/>
        </w:rPr>
        <w:t xml:space="preserve">, EVP &amp; President, Payments &amp; Network, NCR Corporation. “We are pleased to welcome </w:t>
      </w:r>
      <w:proofErr w:type="spellStart"/>
      <w:r w:rsidRPr="00BC444C">
        <w:rPr>
          <w:rFonts w:ascii="Arial" w:hAnsi="Arial" w:cs="Arial"/>
        </w:rPr>
        <w:t>LibertyX</w:t>
      </w:r>
      <w:proofErr w:type="spellEnd"/>
      <w:r w:rsidRPr="00BC444C">
        <w:rPr>
          <w:rFonts w:ascii="Arial" w:hAnsi="Arial" w:cs="Arial"/>
        </w:rPr>
        <w:t xml:space="preserve"> and its outstanding team to NCR.”</w:t>
      </w:r>
    </w:p>
    <w:p w14:paraId="58D6D67D" w14:textId="77777777" w:rsidR="00BC444C" w:rsidRPr="00BC444C" w:rsidRDefault="00BC444C" w:rsidP="00BC444C">
      <w:pPr>
        <w:pStyle w:val="NormalWeb"/>
        <w:shd w:val="clear" w:color="auto" w:fill="FEFEFE"/>
        <w:spacing w:before="0" w:beforeAutospacing="0" w:after="360" w:afterAutospacing="0"/>
        <w:rPr>
          <w:rFonts w:ascii="Arial" w:hAnsi="Arial" w:cs="Arial"/>
        </w:rPr>
      </w:pPr>
      <w:r w:rsidRPr="00BC444C">
        <w:rPr>
          <w:rFonts w:ascii="Arial" w:hAnsi="Arial" w:cs="Arial"/>
        </w:rPr>
        <w:t xml:space="preserve">The </w:t>
      </w:r>
      <w:proofErr w:type="spellStart"/>
      <w:r w:rsidRPr="00BC444C">
        <w:rPr>
          <w:rFonts w:ascii="Arial" w:hAnsi="Arial" w:cs="Arial"/>
        </w:rPr>
        <w:t>LibertyX</w:t>
      </w:r>
      <w:proofErr w:type="spellEnd"/>
      <w:r w:rsidRPr="00BC444C">
        <w:rPr>
          <w:rFonts w:ascii="Arial" w:hAnsi="Arial" w:cs="Arial"/>
        </w:rPr>
        <w:t xml:space="preserve"> digital currency solution runs on ATMs, kiosks and point-of-sale (POS) systems today. </w:t>
      </w:r>
      <w:proofErr w:type="spellStart"/>
      <w:r w:rsidRPr="00BC444C">
        <w:rPr>
          <w:rFonts w:ascii="Arial" w:hAnsi="Arial" w:cs="Arial"/>
        </w:rPr>
        <w:t>LibertyX</w:t>
      </w:r>
      <w:proofErr w:type="spellEnd"/>
      <w:r w:rsidRPr="00BC444C">
        <w:rPr>
          <w:rFonts w:ascii="Arial" w:hAnsi="Arial" w:cs="Arial"/>
        </w:rPr>
        <w:t xml:space="preserve"> partners with ATM operators, like NCR’s Cardtronics, who owns and manages ATMs and the </w:t>
      </w:r>
      <w:proofErr w:type="spellStart"/>
      <w:r w:rsidRPr="00BC444C">
        <w:rPr>
          <w:rFonts w:ascii="Arial" w:hAnsi="Arial" w:cs="Arial"/>
        </w:rPr>
        <w:t>Allpoint</w:t>
      </w:r>
      <w:proofErr w:type="spellEnd"/>
      <w:r w:rsidRPr="00BC444C">
        <w:rPr>
          <w:rFonts w:ascii="Arial" w:hAnsi="Arial" w:cs="Arial"/>
        </w:rPr>
        <w:t xml:space="preserve"> network in the U.S. at locations like convenience stores, pharmacies, and supermarkets. Moving forward, NCR will utilize its </w:t>
      </w:r>
      <w:hyperlink r:id="rId5" w:tgtFrame="_blank" w:history="1">
        <w:r w:rsidRPr="00BC444C">
          <w:rPr>
            <w:rStyle w:val="Hyperlink"/>
            <w:rFonts w:ascii="Arial" w:hAnsi="Arial" w:cs="Arial"/>
            <w:color w:val="499ED6"/>
          </w:rPr>
          <w:t>Pay360 platform</w:t>
        </w:r>
      </w:hyperlink>
      <w:r w:rsidRPr="00BC444C">
        <w:rPr>
          <w:rFonts w:ascii="Arial" w:hAnsi="Arial" w:cs="Arial"/>
          <w:color w:val="444444"/>
        </w:rPr>
        <w:t> </w:t>
      </w:r>
      <w:r w:rsidRPr="00BC444C">
        <w:rPr>
          <w:rFonts w:ascii="Arial" w:hAnsi="Arial" w:cs="Arial"/>
        </w:rPr>
        <w:t xml:space="preserve">to offer the </w:t>
      </w:r>
      <w:proofErr w:type="spellStart"/>
      <w:r w:rsidRPr="00BC444C">
        <w:rPr>
          <w:rFonts w:ascii="Arial" w:hAnsi="Arial" w:cs="Arial"/>
        </w:rPr>
        <w:t>LibertyX</w:t>
      </w:r>
      <w:proofErr w:type="spellEnd"/>
      <w:r w:rsidRPr="00BC444C">
        <w:rPr>
          <w:rFonts w:ascii="Arial" w:hAnsi="Arial" w:cs="Arial"/>
        </w:rPr>
        <w:t xml:space="preserve"> capabilities as part of its solutions for banks, retailers and restaurants. NCR Pay360 provides financial institutions a secure way to enable cash-in and cash-out transactions from their mobile banking app, website, or even customer service centers.</w:t>
      </w:r>
    </w:p>
    <w:p w14:paraId="44EF55CC" w14:textId="77777777" w:rsidR="00BC444C" w:rsidRPr="00BC444C" w:rsidRDefault="00BC444C" w:rsidP="00BC444C">
      <w:pPr>
        <w:pStyle w:val="NormalWeb"/>
        <w:shd w:val="clear" w:color="auto" w:fill="FEFEFE"/>
        <w:spacing w:before="0" w:beforeAutospacing="0" w:after="360" w:afterAutospacing="0"/>
        <w:rPr>
          <w:rFonts w:ascii="Arial" w:hAnsi="Arial" w:cs="Arial"/>
        </w:rPr>
      </w:pPr>
      <w:r w:rsidRPr="00BC444C">
        <w:rPr>
          <w:rFonts w:ascii="Arial" w:hAnsi="Arial" w:cs="Arial"/>
        </w:rPr>
        <w:t xml:space="preserve">On August 2, 2021, NCR and </w:t>
      </w:r>
      <w:proofErr w:type="spellStart"/>
      <w:r w:rsidRPr="00BC444C">
        <w:rPr>
          <w:rFonts w:ascii="Arial" w:hAnsi="Arial" w:cs="Arial"/>
        </w:rPr>
        <w:t>LibertyX</w:t>
      </w:r>
      <w:proofErr w:type="spellEnd"/>
      <w:r w:rsidRPr="00BC444C">
        <w:rPr>
          <w:rFonts w:ascii="Arial" w:hAnsi="Arial" w:cs="Arial"/>
        </w:rPr>
        <w:t> </w:t>
      </w:r>
      <w:hyperlink r:id="rId6" w:tgtFrame="_blank" w:history="1">
        <w:r w:rsidRPr="00BC444C">
          <w:rPr>
            <w:rStyle w:val="Hyperlink"/>
            <w:rFonts w:ascii="Arial" w:hAnsi="Arial" w:cs="Arial"/>
            <w:color w:val="499ED6"/>
          </w:rPr>
          <w:t>announced</w:t>
        </w:r>
      </w:hyperlink>
      <w:r w:rsidRPr="00BC444C">
        <w:rPr>
          <w:rFonts w:ascii="Arial" w:hAnsi="Arial" w:cs="Arial"/>
          <w:color w:val="444444"/>
        </w:rPr>
        <w:t> </w:t>
      </w:r>
      <w:r w:rsidRPr="00BC444C">
        <w:rPr>
          <w:rFonts w:ascii="Arial" w:hAnsi="Arial" w:cs="Arial"/>
        </w:rPr>
        <w:t xml:space="preserve">that they had entered into a definitive agreement under which NCR would acquire </w:t>
      </w:r>
      <w:proofErr w:type="spellStart"/>
      <w:r w:rsidRPr="00BC444C">
        <w:rPr>
          <w:rFonts w:ascii="Arial" w:hAnsi="Arial" w:cs="Arial"/>
        </w:rPr>
        <w:t>LibertyX</w:t>
      </w:r>
      <w:proofErr w:type="spellEnd"/>
      <w:r w:rsidRPr="00BC444C">
        <w:rPr>
          <w:rFonts w:ascii="Arial" w:hAnsi="Arial" w:cs="Arial"/>
        </w:rPr>
        <w:t xml:space="preserve">. The transaction includes </w:t>
      </w:r>
      <w:proofErr w:type="spellStart"/>
      <w:r w:rsidRPr="00BC444C">
        <w:rPr>
          <w:rFonts w:ascii="Arial" w:hAnsi="Arial" w:cs="Arial"/>
        </w:rPr>
        <w:t>LibertyX’s</w:t>
      </w:r>
      <w:proofErr w:type="spellEnd"/>
      <w:r w:rsidRPr="00BC444C">
        <w:rPr>
          <w:rFonts w:ascii="Arial" w:hAnsi="Arial" w:cs="Arial"/>
        </w:rPr>
        <w:t xml:space="preserve"> cryptocurrency remittance business, </w:t>
      </w:r>
      <w:proofErr w:type="spellStart"/>
      <w:r w:rsidRPr="00BC444C">
        <w:rPr>
          <w:rFonts w:ascii="Arial" w:hAnsi="Arial" w:cs="Arial"/>
        </w:rPr>
        <w:t>LibertyPay</w:t>
      </w:r>
      <w:proofErr w:type="spellEnd"/>
      <w:r w:rsidRPr="00BC444C">
        <w:rPr>
          <w:rFonts w:ascii="Arial" w:hAnsi="Arial" w:cs="Arial"/>
        </w:rPr>
        <w:t>. Financial terms of the transaction were not disclosed.</w:t>
      </w:r>
    </w:p>
    <w:p w14:paraId="2CBB4B87" w14:textId="77777777" w:rsidR="00BC444C" w:rsidRPr="00BC444C" w:rsidRDefault="00BC444C" w:rsidP="00BC444C">
      <w:pPr>
        <w:pStyle w:val="NormalWeb"/>
        <w:shd w:val="clear" w:color="auto" w:fill="FEFEFE"/>
        <w:spacing w:before="0" w:beforeAutospacing="0" w:after="360" w:afterAutospacing="0"/>
        <w:rPr>
          <w:rFonts w:ascii="Arial" w:hAnsi="Arial" w:cs="Arial"/>
          <w:b/>
          <w:bCs/>
        </w:rPr>
      </w:pPr>
      <w:r w:rsidRPr="00BC444C">
        <w:rPr>
          <w:rFonts w:ascii="Arial" w:hAnsi="Arial" w:cs="Arial"/>
          <w:b/>
          <w:bCs/>
        </w:rPr>
        <w:t>About NCR Corporation</w:t>
      </w:r>
    </w:p>
    <w:p w14:paraId="284D3A68" w14:textId="77777777" w:rsidR="00BC444C" w:rsidRPr="00BC444C" w:rsidRDefault="00BC444C" w:rsidP="00BC444C">
      <w:pPr>
        <w:pStyle w:val="NormalWeb"/>
        <w:shd w:val="clear" w:color="auto" w:fill="FEFEFE"/>
        <w:spacing w:before="0" w:beforeAutospacing="0" w:after="360" w:afterAutospacing="0"/>
        <w:rPr>
          <w:rFonts w:ascii="Arial" w:hAnsi="Arial" w:cs="Arial"/>
        </w:rPr>
      </w:pPr>
      <w:r w:rsidRPr="00BC444C">
        <w:rPr>
          <w:rFonts w:ascii="Arial" w:hAnsi="Arial" w:cs="Arial"/>
        </w:rPr>
        <w:t>NCR Corporation (NYSE: NCR) is a leading enterprise technology provider that runs stores, restaurants and self-directed banking. NCR is headquartered in Atlanta, Ga., with 38,000 employees globally. NCR is a trademark of NCR Corporation in the United States and other countries.</w:t>
      </w:r>
    </w:p>
    <w:p w14:paraId="3156188A" w14:textId="77777777" w:rsidR="00F54C85" w:rsidRPr="00BC444C" w:rsidRDefault="00F54C85">
      <w:pPr>
        <w:rPr>
          <w:rFonts w:ascii="Arial" w:hAnsi="Arial" w:cs="Arial"/>
        </w:rPr>
      </w:pPr>
    </w:p>
    <w:sectPr w:rsidR="00F54C85" w:rsidRPr="00BC4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44C"/>
    <w:rsid w:val="0085016C"/>
    <w:rsid w:val="00BC444C"/>
    <w:rsid w:val="00F5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416B8"/>
  <w15:chartTrackingRefBased/>
  <w15:docId w15:val="{20327233-7A59-4E39-B36A-7E24F6D0A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444C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BC444C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paragraph">
    <w:name w:val="paragraph"/>
    <w:basedOn w:val="Normal"/>
    <w:rsid w:val="00BC4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C444C"/>
  </w:style>
  <w:style w:type="character" w:customStyle="1" w:styleId="eop">
    <w:name w:val="eop"/>
    <w:basedOn w:val="DefaultParagraphFont"/>
    <w:rsid w:val="00BC4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5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ts.businesswire.com/ct/CT?id=smartlink&amp;url=https%3A%2F%2Fwww.ncr.com%2Fnews%2Fnewsroom%2Fnews-releases%2Fcompany%2Fncr-signs-definitive-agreement-to-acquire-crytpocurrency-leader-libertyx&amp;esheet=52562771&amp;newsitemid=20220113005846&amp;lan=en-US&amp;anchor=announced&amp;index=3&amp;md5=7d74daca2c9747d58c797601245d86c6" TargetMode="External"/><Relationship Id="rId5" Type="http://schemas.openxmlformats.org/officeDocument/2006/relationships/hyperlink" Target="https://cts.businesswire.com/ct/CT?id=smartlink&amp;url=https%3A%2F%2Fwww.ncr.com%2Fpayments%2Fpay360&amp;esheet=52562771&amp;newsitemid=20220113005846&amp;lan=en-US&amp;anchor=Pay360+platform&amp;index=2&amp;md5=156d84b89d62dc265972bef77c3c0857" TargetMode="External"/><Relationship Id="rId4" Type="http://schemas.openxmlformats.org/officeDocument/2006/relationships/hyperlink" Target="mailto:amber@williammil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Wheeler</dc:creator>
  <cp:keywords/>
  <dc:description/>
  <cp:lastModifiedBy>Samantha Wheeler</cp:lastModifiedBy>
  <cp:revision>1</cp:revision>
  <dcterms:created xsi:type="dcterms:W3CDTF">2022-01-14T19:07:00Z</dcterms:created>
  <dcterms:modified xsi:type="dcterms:W3CDTF">2022-01-14T19:17:00Z</dcterms:modified>
</cp:coreProperties>
</file>