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0E66" w:rsidRDefault="00900E66">
      <w:pPr>
        <w:jc w:val="center"/>
        <w:rPr>
          <w:rFonts w:ascii="Open Sans" w:eastAsia="Open Sans" w:hAnsi="Open Sans" w:cs="Open Sans"/>
          <w:b/>
          <w:sz w:val="28"/>
          <w:szCs w:val="28"/>
        </w:rPr>
      </w:pPr>
    </w:p>
    <w:tbl>
      <w:tblPr>
        <w:tblW w:w="0" w:type="auto"/>
        <w:tblCellMar>
          <w:left w:w="0" w:type="dxa"/>
          <w:right w:w="0" w:type="dxa"/>
        </w:tblCellMar>
        <w:tblLook w:val="00A0" w:firstRow="1" w:lastRow="0" w:firstColumn="1" w:lastColumn="0" w:noHBand="0" w:noVBand="0"/>
      </w:tblPr>
      <w:tblGrid>
        <w:gridCol w:w="5031"/>
        <w:gridCol w:w="3837"/>
      </w:tblGrid>
      <w:tr w:rsidR="005E46B6" w:rsidRPr="000433B6" w14:paraId="1A7FB41E" w14:textId="77777777" w:rsidTr="00C1472E">
        <w:trPr>
          <w:trHeight w:val="450"/>
        </w:trPr>
        <w:tc>
          <w:tcPr>
            <w:tcW w:w="5031" w:type="dxa"/>
            <w:tcMar>
              <w:top w:w="0" w:type="dxa"/>
              <w:left w:w="108" w:type="dxa"/>
              <w:bottom w:w="0" w:type="dxa"/>
              <w:right w:w="108" w:type="dxa"/>
            </w:tcMar>
            <w:vAlign w:val="center"/>
          </w:tcPr>
          <w:p w14:paraId="560A82F3" w14:textId="77777777" w:rsidR="005E46B6" w:rsidRPr="008E6181" w:rsidRDefault="005E46B6" w:rsidP="00C1472E">
            <w:pPr>
              <w:pStyle w:val="Heading3"/>
              <w:rPr>
                <w:rFonts w:ascii="Helvetica" w:hAnsi="Helvetica" w:cs="Helvetica"/>
                <w:sz w:val="22"/>
                <w:szCs w:val="22"/>
                <w:lang w:val="es-ES"/>
              </w:rPr>
            </w:pPr>
            <w:r w:rsidRPr="007A4343">
              <w:rPr>
                <w:noProof/>
              </w:rPr>
              <w:drawing>
                <wp:inline distT="0" distB="0" distL="0" distR="0" wp14:anchorId="5FA3F5E8" wp14:editId="301DBD18">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_BB_RGB-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050" cy="1124050"/>
                          </a:xfrm>
                          <a:prstGeom prst="rect">
                            <a:avLst/>
                          </a:prstGeom>
                        </pic:spPr>
                      </pic:pic>
                    </a:graphicData>
                  </a:graphic>
                </wp:inline>
              </w:drawing>
            </w:r>
          </w:p>
        </w:tc>
        <w:tc>
          <w:tcPr>
            <w:tcW w:w="3837" w:type="dxa"/>
            <w:tcMar>
              <w:top w:w="0" w:type="dxa"/>
              <w:left w:w="108" w:type="dxa"/>
              <w:bottom w:w="0" w:type="dxa"/>
              <w:right w:w="108" w:type="dxa"/>
            </w:tcMar>
            <w:vAlign w:val="center"/>
          </w:tcPr>
          <w:p w14:paraId="6C4E7F8A" w14:textId="77777777" w:rsidR="005E46B6" w:rsidRPr="002D5757" w:rsidRDefault="005E46B6" w:rsidP="00C1472E">
            <w:pPr>
              <w:pStyle w:val="Heading3"/>
              <w:ind w:right="-18"/>
              <w:jc w:val="right"/>
              <w:rPr>
                <w:rFonts w:ascii="Raleway Black" w:hAnsi="Raleway Black" w:cs="Helvetica"/>
                <w:bCs/>
                <w:sz w:val="32"/>
                <w:szCs w:val="32"/>
              </w:rPr>
            </w:pPr>
            <w:r w:rsidRPr="002D5757">
              <w:rPr>
                <w:rFonts w:ascii="Raleway Black" w:hAnsi="Raleway Black" w:cs="Helvetica"/>
                <w:sz w:val="32"/>
                <w:szCs w:val="32"/>
              </w:rPr>
              <w:t>NEWS RELEASE</w:t>
            </w:r>
          </w:p>
        </w:tc>
      </w:tr>
    </w:tbl>
    <w:p w14:paraId="302D946D" w14:textId="77777777" w:rsidR="005E46B6" w:rsidRDefault="005E46B6" w:rsidP="005E46B6">
      <w:pPr>
        <w:rPr>
          <w:rFonts w:ascii="Helvetica" w:eastAsia="Times New Roman" w:hAnsi="Helvetica" w:cs="Helvetica"/>
          <w:b/>
          <w:bCs/>
          <w:lang w:eastAsia="pl-PL"/>
        </w:rPr>
      </w:pPr>
    </w:p>
    <w:p w14:paraId="00000003" w14:textId="77777777" w:rsidR="00900E66" w:rsidRDefault="00900E66" w:rsidP="005E46B6">
      <w:pPr>
        <w:rPr>
          <w:rFonts w:ascii="Open Sans" w:eastAsia="Open Sans" w:hAnsi="Open Sans" w:cs="Open Sans"/>
          <w:b/>
          <w:sz w:val="28"/>
          <w:szCs w:val="28"/>
        </w:rPr>
      </w:pPr>
    </w:p>
    <w:p w14:paraId="00000005" w14:textId="77777777" w:rsidR="00900E66" w:rsidRDefault="00CD1AAF">
      <w:pPr>
        <w:jc w:val="center"/>
        <w:rPr>
          <w:rFonts w:ascii="Open Sans" w:eastAsia="Open Sans" w:hAnsi="Open Sans" w:cs="Open Sans"/>
          <w:b/>
          <w:color w:val="000000"/>
          <w:sz w:val="28"/>
          <w:szCs w:val="28"/>
        </w:rPr>
      </w:pPr>
      <w:r>
        <w:rPr>
          <w:rFonts w:ascii="Open Sans" w:eastAsia="Open Sans" w:hAnsi="Open Sans" w:cs="Open Sans"/>
          <w:b/>
          <w:color w:val="000000"/>
          <w:sz w:val="28"/>
          <w:szCs w:val="28"/>
        </w:rPr>
        <w:t>NCR and Google Cloud Collaborate to Accelerate Digital Transformation in Banking</w:t>
      </w:r>
    </w:p>
    <w:p w14:paraId="00000006" w14:textId="77777777" w:rsidR="00900E66" w:rsidRDefault="00900E66">
      <w:pPr>
        <w:jc w:val="center"/>
        <w:rPr>
          <w:color w:val="000000"/>
        </w:rPr>
      </w:pPr>
    </w:p>
    <w:p w14:paraId="00000007" w14:textId="77777777" w:rsidR="00900E66" w:rsidRDefault="00900E66">
      <w:pPr>
        <w:jc w:val="center"/>
        <w:rPr>
          <w:color w:val="000000"/>
        </w:rPr>
      </w:pPr>
    </w:p>
    <w:p w14:paraId="00000008" w14:textId="4F4EA077" w:rsidR="00900E66" w:rsidRDefault="00CD1AAF">
      <w:pPr>
        <w:rPr>
          <w:rFonts w:ascii="Open Sans" w:eastAsia="Open Sans" w:hAnsi="Open Sans" w:cs="Open Sans"/>
          <w:color w:val="1D1D1D"/>
          <w:highlight w:val="white"/>
        </w:rPr>
      </w:pPr>
      <w:proofErr w:type="gramStart"/>
      <w:r>
        <w:rPr>
          <w:rFonts w:ascii="Open Sans" w:eastAsia="Open Sans" w:hAnsi="Open Sans" w:cs="Open Sans"/>
          <w:b/>
          <w:color w:val="000000"/>
        </w:rPr>
        <w:t>ATLANTA  –</w:t>
      </w:r>
      <w:proofErr w:type="gramEnd"/>
      <w:r>
        <w:rPr>
          <w:rFonts w:ascii="Open Sans" w:eastAsia="Open Sans" w:hAnsi="Open Sans" w:cs="Open Sans"/>
          <w:b/>
          <w:color w:val="000000"/>
        </w:rPr>
        <w:t xml:space="preserve"> </w:t>
      </w:r>
      <w:r w:rsidR="005E46B6" w:rsidRPr="005E46B6">
        <w:rPr>
          <w:rFonts w:ascii="Open Sans" w:eastAsia="Open Sans" w:hAnsi="Open Sans" w:cs="Open Sans"/>
          <w:b/>
          <w:color w:val="000000"/>
        </w:rPr>
        <w:t>April 27</w:t>
      </w:r>
      <w:r w:rsidRPr="005E46B6">
        <w:rPr>
          <w:rFonts w:ascii="Open Sans" w:eastAsia="Open Sans" w:hAnsi="Open Sans" w:cs="Open Sans"/>
          <w:b/>
          <w:color w:val="000000"/>
        </w:rPr>
        <w:t>, 2021</w:t>
      </w:r>
      <w:r>
        <w:rPr>
          <w:rFonts w:ascii="Open Sans" w:eastAsia="Open Sans" w:hAnsi="Open Sans" w:cs="Open Sans"/>
          <w:color w:val="000000"/>
        </w:rPr>
        <w:t xml:space="preserve"> – NCR Corporation (NYSE: NCR), a global enterprise technology provider for the financial industry, and Google Cloud today announced a global strategic partnership. Under the terms of the agreement, NCR will expand cloud availability of its </w:t>
      </w:r>
      <w:hyperlink r:id="rId7">
        <w:r>
          <w:rPr>
            <w:rFonts w:ascii="Open Sans" w:eastAsia="Open Sans" w:hAnsi="Open Sans" w:cs="Open Sans"/>
            <w:color w:val="0563C1"/>
            <w:u w:val="single"/>
          </w:rPr>
          <w:t>Digital Banking</w:t>
        </w:r>
      </w:hyperlink>
      <w:r>
        <w:rPr>
          <w:rFonts w:ascii="Open Sans" w:eastAsia="Open Sans" w:hAnsi="Open Sans" w:cs="Open Sans"/>
          <w:color w:val="000000"/>
        </w:rPr>
        <w:t xml:space="preserve"> software portfolio, </w:t>
      </w:r>
      <w:r>
        <w:rPr>
          <w:rFonts w:ascii="Open Sans" w:eastAsia="Open Sans" w:hAnsi="Open Sans" w:cs="Open Sans"/>
          <w:color w:val="000000"/>
          <w:shd w:val="clear" w:color="auto" w:fill="FEFEFE"/>
        </w:rPr>
        <w:t xml:space="preserve">including </w:t>
      </w:r>
      <w:hyperlink r:id="rId8">
        <w:r>
          <w:rPr>
            <w:rFonts w:ascii="Open Sans" w:eastAsia="Open Sans" w:hAnsi="Open Sans" w:cs="Open Sans"/>
            <w:color w:val="0563C1"/>
            <w:u w:val="single"/>
            <w:shd w:val="clear" w:color="auto" w:fill="FEFEFE"/>
          </w:rPr>
          <w:t>NCR Channel Services</w:t>
        </w:r>
      </w:hyperlink>
      <w:r>
        <w:rPr>
          <w:rFonts w:ascii="Open Sans" w:eastAsia="Open Sans" w:hAnsi="Open Sans" w:cs="Open Sans"/>
          <w:color w:val="000000"/>
          <w:shd w:val="clear" w:color="auto" w:fill="FEFEFE"/>
        </w:rPr>
        <w:t xml:space="preserve"> for retail banking as well as its card and payments processing platform </w:t>
      </w:r>
      <w:hyperlink r:id="rId9">
        <w:r>
          <w:rPr>
            <w:rFonts w:ascii="Open Sans" w:eastAsia="Open Sans" w:hAnsi="Open Sans" w:cs="Open Sans"/>
            <w:color w:val="0563C1"/>
            <w:u w:val="single"/>
          </w:rPr>
          <w:t>NCR Authentic</w:t>
        </w:r>
      </w:hyperlink>
      <w:r>
        <w:rPr>
          <w:rFonts w:ascii="Open Sans" w:eastAsia="Open Sans" w:hAnsi="Open Sans" w:cs="Open Sans"/>
          <w:color w:val="000000"/>
        </w:rPr>
        <w:t>.</w:t>
      </w:r>
    </w:p>
    <w:p w14:paraId="00000009" w14:textId="77777777" w:rsidR="00900E66" w:rsidRDefault="00900E66">
      <w:pPr>
        <w:rPr>
          <w:rFonts w:ascii="Open Sans" w:eastAsia="Open Sans" w:hAnsi="Open Sans" w:cs="Open Sans"/>
          <w:color w:val="1D1D1D"/>
          <w:highlight w:val="white"/>
        </w:rPr>
      </w:pPr>
    </w:p>
    <w:p w14:paraId="0000000A" w14:textId="77777777" w:rsidR="00900E66" w:rsidRDefault="00CD1AAF">
      <w:pPr>
        <w:rPr>
          <w:rFonts w:ascii="Open Sans" w:eastAsia="Open Sans" w:hAnsi="Open Sans" w:cs="Open Sans"/>
          <w:color w:val="1D1D1D"/>
          <w:highlight w:val="white"/>
        </w:rPr>
      </w:pPr>
      <w:r>
        <w:rPr>
          <w:rFonts w:ascii="Open Sans" w:eastAsia="Open Sans" w:hAnsi="Open Sans" w:cs="Open Sans"/>
          <w:color w:val="000000"/>
          <w:shd w:val="clear" w:color="auto" w:fill="FEFEFE"/>
        </w:rPr>
        <w:t>“This initiative expands the cloud deployment options for NCR’s customers, making it easier and faster for financial institutions to bring new digital banking services to market and accelerate digital</w:t>
      </w:r>
      <w:r>
        <w:rPr>
          <w:rFonts w:ascii="Open Sans" w:eastAsia="Open Sans" w:hAnsi="Open Sans" w:cs="Open Sans"/>
          <w:color w:val="000000"/>
        </w:rPr>
        <w:t xml:space="preserve"> transformations with confidence,” said Frank Hauck, </w:t>
      </w:r>
      <w:r>
        <w:rPr>
          <w:rFonts w:ascii="Open Sans" w:eastAsia="Open Sans" w:hAnsi="Open Sans" w:cs="Open Sans"/>
        </w:rPr>
        <w:t xml:space="preserve">President and General Manager of NCR Banking. </w:t>
      </w:r>
      <w:r>
        <w:rPr>
          <w:rFonts w:ascii="Open Sans" w:eastAsia="Open Sans" w:hAnsi="Open Sans" w:cs="Open Sans"/>
          <w:color w:val="000000"/>
        </w:rPr>
        <w:t>“Financial institutions will benefit from NCR’s depth of banking industry experience along with the trusted, secure cloud platform provided by Google Cloud.”</w:t>
      </w:r>
    </w:p>
    <w:p w14:paraId="0000000B" w14:textId="77777777" w:rsidR="00900E66" w:rsidRDefault="00900E66">
      <w:pPr>
        <w:rPr>
          <w:rFonts w:ascii="Open Sans" w:eastAsia="Open Sans" w:hAnsi="Open Sans" w:cs="Open Sans"/>
          <w:color w:val="000000"/>
        </w:rPr>
      </w:pPr>
    </w:p>
    <w:p w14:paraId="0000000C" w14:textId="616A3CC2" w:rsidR="00900E66" w:rsidRDefault="00CD1AAF">
      <w:pPr>
        <w:rPr>
          <w:rFonts w:ascii="Open Sans" w:eastAsia="Open Sans" w:hAnsi="Open Sans" w:cs="Open Sans"/>
          <w:color w:val="000000"/>
          <w:shd w:val="clear" w:color="auto" w:fill="FEFEFE"/>
        </w:rPr>
      </w:pPr>
      <w:r>
        <w:rPr>
          <w:rFonts w:ascii="Open Sans" w:eastAsia="Open Sans" w:hAnsi="Open Sans" w:cs="Open Sans"/>
          <w:color w:val="000000"/>
          <w:shd w:val="clear" w:color="auto" w:fill="FEFEFE"/>
        </w:rPr>
        <w:t xml:space="preserve">NCR and Google Cloud will collaborate on product development and innovation to further enhance the suite of cloud-based solutions and analytics available to banking customers on Google Cloud. </w:t>
      </w:r>
      <w:r>
        <w:rPr>
          <w:rFonts w:ascii="Open Sans" w:eastAsia="Open Sans" w:hAnsi="Open Sans" w:cs="Open Sans"/>
          <w:color w:val="0A0A0A"/>
        </w:rPr>
        <w:t xml:space="preserve">Google Cloud is a leading infrastructure, </w:t>
      </w:r>
      <w:proofErr w:type="gramStart"/>
      <w:r>
        <w:rPr>
          <w:rFonts w:ascii="Open Sans" w:eastAsia="Open Sans" w:hAnsi="Open Sans" w:cs="Open Sans"/>
          <w:color w:val="0A0A0A"/>
        </w:rPr>
        <w:t>platform</w:t>
      </w:r>
      <w:proofErr w:type="gramEnd"/>
      <w:r>
        <w:rPr>
          <w:rFonts w:ascii="Open Sans" w:eastAsia="Open Sans" w:hAnsi="Open Sans" w:cs="Open Sans"/>
          <w:color w:val="0A0A0A"/>
        </w:rPr>
        <w:t xml:space="preserve"> and industry solutions provider, helping businesses solve their most critical problems across 200 countries. </w:t>
      </w:r>
      <w:r>
        <w:rPr>
          <w:rFonts w:ascii="Open Sans" w:eastAsia="Open Sans" w:hAnsi="Open Sans" w:cs="Open Sans"/>
          <w:color w:val="000000"/>
          <w:shd w:val="clear" w:color="auto" w:fill="FEFEFE"/>
        </w:rPr>
        <w:t>With the ubiquitous Google Cloud, NCR’s customers will gain a leading solution for powerful computing, data storage and powerful analytics, and business insight.</w:t>
      </w:r>
    </w:p>
    <w:p w14:paraId="0000000D" w14:textId="77777777" w:rsidR="00900E66" w:rsidRDefault="00900E66">
      <w:pPr>
        <w:rPr>
          <w:rFonts w:ascii="Open Sans" w:eastAsia="Open Sans" w:hAnsi="Open Sans" w:cs="Open Sans"/>
          <w:color w:val="000000"/>
        </w:rPr>
      </w:pPr>
    </w:p>
    <w:p w14:paraId="0000000E" w14:textId="09F53353" w:rsidR="00900E66" w:rsidRDefault="00CD1AAF">
      <w:pPr>
        <w:rPr>
          <w:rFonts w:ascii="Open Sans" w:eastAsia="Open Sans" w:hAnsi="Open Sans" w:cs="Open Sans"/>
          <w:shd w:val="clear" w:color="auto" w:fill="FEFEFE"/>
        </w:rPr>
      </w:pPr>
      <w:r>
        <w:rPr>
          <w:rFonts w:ascii="Open Sans" w:eastAsia="Open Sans" w:hAnsi="Open Sans" w:cs="Open Sans"/>
          <w:shd w:val="clear" w:color="auto" w:fill="FEFEFE"/>
        </w:rPr>
        <w:t>“We’re partnering with NCR to help accelerate the digital transformation of financial services organizations,” said Derek White, vice president, Global Financial Services at Google Cloud. “Bringing NCR’s widely adopted digital banking software onto Google Cloud means financial institutions can leverage scalable, secure cloud infrastructure, with the flexibility to deploy new, cloud-native solutions across on-premises, hybrid cloud, and as-a-service models, enabling them to deliver exceptional customer experiences.”</w:t>
      </w:r>
    </w:p>
    <w:p w14:paraId="00000012" w14:textId="77777777" w:rsidR="00900E66" w:rsidRDefault="00900E66">
      <w:pPr>
        <w:rPr>
          <w:rFonts w:ascii="Open Sans" w:eastAsia="Open Sans" w:hAnsi="Open Sans" w:cs="Open Sans"/>
          <w:b/>
        </w:rPr>
      </w:pPr>
    </w:p>
    <w:p w14:paraId="00000013" w14:textId="77777777" w:rsidR="00900E66" w:rsidRDefault="00CD1AAF">
      <w:pPr>
        <w:rPr>
          <w:rFonts w:ascii="Open Sans" w:eastAsia="Open Sans" w:hAnsi="Open Sans" w:cs="Open Sans"/>
          <w:b/>
        </w:rPr>
      </w:pPr>
      <w:r>
        <w:rPr>
          <w:rFonts w:ascii="Open Sans" w:eastAsia="Open Sans" w:hAnsi="Open Sans" w:cs="Open Sans"/>
          <w:b/>
        </w:rPr>
        <w:t>About NCR Corporation </w:t>
      </w:r>
    </w:p>
    <w:p w14:paraId="00000014" w14:textId="77777777" w:rsidR="00900E66" w:rsidRDefault="00CD1AAF">
      <w:pPr>
        <w:rPr>
          <w:rFonts w:ascii="Open Sans" w:eastAsia="Open Sans" w:hAnsi="Open Sans" w:cs="Open Sans"/>
        </w:rPr>
      </w:pPr>
      <w:r>
        <w:rPr>
          <w:rFonts w:ascii="Open Sans" w:eastAsia="Open Sans" w:hAnsi="Open Sans" w:cs="Open Sans"/>
        </w:rPr>
        <w:lastRenderedPageBreak/>
        <w:t>NCR Corporation (NYSE: NCR) is a leading software- and services-led enterprise provider in the financial, retail and hospitality industries. NCR is headquartered in Atlanta, Ga., with 36,000 employees globally. NCR is a trademark of NCR Corporation in the United States and other countries.</w:t>
      </w:r>
    </w:p>
    <w:p w14:paraId="00000015" w14:textId="77777777" w:rsidR="00900E66" w:rsidRDefault="00900E66">
      <w:pPr>
        <w:rPr>
          <w:rFonts w:ascii="Open Sans" w:eastAsia="Open Sans" w:hAnsi="Open Sans" w:cs="Open Sans"/>
        </w:rPr>
      </w:pPr>
    </w:p>
    <w:p w14:paraId="00000016" w14:textId="77777777" w:rsidR="00900E66" w:rsidRDefault="00CD1AAF">
      <w:pPr>
        <w:rPr>
          <w:rFonts w:ascii="Open Sans" w:eastAsia="Open Sans" w:hAnsi="Open Sans" w:cs="Open Sans"/>
        </w:rPr>
      </w:pPr>
      <w:r>
        <w:rPr>
          <w:rFonts w:ascii="Open Sans" w:eastAsia="Open Sans" w:hAnsi="Open Sans" w:cs="Open Sans"/>
        </w:rPr>
        <w:t>Web site: </w:t>
      </w:r>
      <w:hyperlink r:id="rId10">
        <w:r>
          <w:rPr>
            <w:rFonts w:ascii="Open Sans" w:eastAsia="Open Sans" w:hAnsi="Open Sans" w:cs="Open Sans"/>
            <w:color w:val="954F72"/>
            <w:u w:val="single"/>
          </w:rPr>
          <w:t>www.ncr.com</w:t>
        </w:r>
      </w:hyperlink>
    </w:p>
    <w:p w14:paraId="00000017" w14:textId="77777777" w:rsidR="00900E66" w:rsidRDefault="00CD1AAF">
      <w:pPr>
        <w:rPr>
          <w:rFonts w:ascii="Open Sans" w:eastAsia="Open Sans" w:hAnsi="Open Sans" w:cs="Open Sans"/>
        </w:rPr>
      </w:pPr>
      <w:r>
        <w:rPr>
          <w:rFonts w:ascii="Open Sans" w:eastAsia="Open Sans" w:hAnsi="Open Sans" w:cs="Open Sans"/>
        </w:rPr>
        <w:t>Twitter: </w:t>
      </w:r>
      <w:hyperlink r:id="rId11">
        <w:r>
          <w:rPr>
            <w:rFonts w:ascii="Open Sans" w:eastAsia="Open Sans" w:hAnsi="Open Sans" w:cs="Open Sans"/>
            <w:color w:val="954F72"/>
            <w:u w:val="single"/>
          </w:rPr>
          <w:t>@NCRCorporation</w:t>
        </w:r>
      </w:hyperlink>
    </w:p>
    <w:p w14:paraId="00000018" w14:textId="77777777" w:rsidR="00900E66" w:rsidRDefault="00CD1AAF">
      <w:pPr>
        <w:rPr>
          <w:rFonts w:ascii="Open Sans" w:eastAsia="Open Sans" w:hAnsi="Open Sans" w:cs="Open Sans"/>
        </w:rPr>
      </w:pPr>
      <w:r>
        <w:rPr>
          <w:rFonts w:ascii="Open Sans" w:eastAsia="Open Sans" w:hAnsi="Open Sans" w:cs="Open Sans"/>
        </w:rPr>
        <w:t>Facebook: </w:t>
      </w:r>
      <w:hyperlink r:id="rId12">
        <w:r>
          <w:rPr>
            <w:rFonts w:ascii="Open Sans" w:eastAsia="Open Sans" w:hAnsi="Open Sans" w:cs="Open Sans"/>
            <w:color w:val="954F72"/>
            <w:u w:val="single"/>
          </w:rPr>
          <w:t>www.facebook.com/ncrcorp</w:t>
        </w:r>
      </w:hyperlink>
    </w:p>
    <w:p w14:paraId="00000019" w14:textId="77777777" w:rsidR="00900E66" w:rsidRDefault="00CD1AAF">
      <w:pPr>
        <w:rPr>
          <w:rFonts w:ascii="Open Sans" w:eastAsia="Open Sans" w:hAnsi="Open Sans" w:cs="Open Sans"/>
        </w:rPr>
      </w:pPr>
      <w:r>
        <w:rPr>
          <w:rFonts w:ascii="Open Sans" w:eastAsia="Open Sans" w:hAnsi="Open Sans" w:cs="Open Sans"/>
        </w:rPr>
        <w:t>LinkedIn: </w:t>
      </w:r>
      <w:hyperlink r:id="rId13">
        <w:r>
          <w:rPr>
            <w:rFonts w:ascii="Open Sans" w:eastAsia="Open Sans" w:hAnsi="Open Sans" w:cs="Open Sans"/>
            <w:color w:val="954F72"/>
            <w:u w:val="single"/>
          </w:rPr>
          <w:t>www.linkedin.com/company/ncr-corporation</w:t>
        </w:r>
      </w:hyperlink>
    </w:p>
    <w:p w14:paraId="0000001A" w14:textId="77777777" w:rsidR="00900E66" w:rsidRDefault="00CD1AAF">
      <w:pPr>
        <w:rPr>
          <w:color w:val="000000"/>
        </w:rPr>
      </w:pPr>
      <w:r>
        <w:rPr>
          <w:rFonts w:ascii="Open Sans" w:eastAsia="Open Sans" w:hAnsi="Open Sans" w:cs="Open Sans"/>
        </w:rPr>
        <w:t>YouTube: </w:t>
      </w:r>
      <w:hyperlink r:id="rId14">
        <w:r>
          <w:rPr>
            <w:rFonts w:ascii="Open Sans" w:eastAsia="Open Sans" w:hAnsi="Open Sans" w:cs="Open Sans"/>
            <w:color w:val="954F72"/>
            <w:u w:val="single"/>
          </w:rPr>
          <w:t>www.youtube.com/user/ncrcorporation</w:t>
        </w:r>
      </w:hyperlink>
    </w:p>
    <w:p w14:paraId="0000001B" w14:textId="77777777" w:rsidR="00900E66" w:rsidRDefault="00900E66"/>
    <w:p w14:paraId="6AF15E0A" w14:textId="77777777" w:rsidR="005E46B6" w:rsidRPr="005E46B6" w:rsidRDefault="005E46B6" w:rsidP="005E46B6">
      <w:pPr>
        <w:rPr>
          <w:rFonts w:ascii="Open Sans" w:hAnsi="Open Sans" w:cs="Open Sans"/>
          <w:color w:val="000000"/>
          <w:shd w:val="clear" w:color="auto" w:fill="FFFFFF"/>
        </w:rPr>
      </w:pPr>
      <w:r w:rsidRPr="005E46B6">
        <w:rPr>
          <w:rFonts w:ascii="Open Sans" w:hAnsi="Open Sans" w:cs="Open Sans"/>
          <w:b/>
          <w:color w:val="000000"/>
          <w:shd w:val="clear" w:color="auto" w:fill="FFFFFF"/>
        </w:rPr>
        <w:t>Media Contact</w:t>
      </w:r>
      <w:r w:rsidRPr="005E46B6">
        <w:rPr>
          <w:rFonts w:ascii="Open Sans" w:hAnsi="Open Sans" w:cs="Open Sans"/>
          <w:color w:val="000000"/>
          <w:shd w:val="clear" w:color="auto" w:fill="FFFFFF"/>
        </w:rPr>
        <w:br/>
        <w:t>Scott Sykes</w:t>
      </w:r>
      <w:r w:rsidRPr="005E46B6">
        <w:rPr>
          <w:rFonts w:ascii="Open Sans" w:hAnsi="Open Sans" w:cs="Open Sans"/>
          <w:color w:val="000000"/>
          <w:shd w:val="clear" w:color="auto" w:fill="FFFFFF"/>
        </w:rPr>
        <w:br/>
        <w:t>(917) 232-6720</w:t>
      </w:r>
      <w:r w:rsidRPr="005E46B6">
        <w:rPr>
          <w:rFonts w:ascii="Open Sans" w:hAnsi="Open Sans" w:cs="Open Sans"/>
          <w:color w:val="000000"/>
          <w:shd w:val="clear" w:color="auto" w:fill="FFFFFF"/>
        </w:rPr>
        <w:br/>
      </w:r>
      <w:hyperlink r:id="rId15" w:history="1">
        <w:r w:rsidRPr="005E46B6">
          <w:rPr>
            <w:rStyle w:val="Hyperlink"/>
            <w:rFonts w:ascii="Open Sans" w:hAnsi="Open Sans" w:cs="Open Sans"/>
            <w:shd w:val="clear" w:color="auto" w:fill="FFFFFF"/>
          </w:rPr>
          <w:t>scott.sykes@ncr.com</w:t>
        </w:r>
      </w:hyperlink>
      <w:r w:rsidRPr="005E46B6">
        <w:rPr>
          <w:rFonts w:ascii="Open Sans" w:hAnsi="Open Sans" w:cs="Open Sans"/>
          <w:color w:val="000000"/>
          <w:shd w:val="clear" w:color="auto" w:fill="FFFFFF"/>
        </w:rPr>
        <w:t xml:space="preserve"> </w:t>
      </w:r>
    </w:p>
    <w:p w14:paraId="0000001C" w14:textId="77777777" w:rsidR="00900E66" w:rsidRDefault="00900E66"/>
    <w:sectPr w:rsidR="00900E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E238" w14:textId="77777777" w:rsidR="00392023" w:rsidRDefault="00392023" w:rsidP="00CD1AAF">
      <w:r>
        <w:separator/>
      </w:r>
    </w:p>
  </w:endnote>
  <w:endnote w:type="continuationSeparator" w:id="0">
    <w:p w14:paraId="13AF2370" w14:textId="77777777" w:rsidR="00392023" w:rsidRDefault="00392023" w:rsidP="00CD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aleway Black">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2D8D" w14:textId="77777777" w:rsidR="00392023" w:rsidRDefault="00392023" w:rsidP="00CD1AAF">
      <w:r>
        <w:separator/>
      </w:r>
    </w:p>
  </w:footnote>
  <w:footnote w:type="continuationSeparator" w:id="0">
    <w:p w14:paraId="0507A174" w14:textId="77777777" w:rsidR="00392023" w:rsidRDefault="00392023" w:rsidP="00CD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66"/>
    <w:rsid w:val="00392023"/>
    <w:rsid w:val="004071CE"/>
    <w:rsid w:val="004B1696"/>
    <w:rsid w:val="005E46B6"/>
    <w:rsid w:val="00900E66"/>
    <w:rsid w:val="00C11EB9"/>
    <w:rsid w:val="00C51B9A"/>
    <w:rsid w:val="00CD1AAF"/>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94FB"/>
  <w15:docId w15:val="{C0DD18D6-CC56-44D3-B21E-924DCACF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5E4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r.com/banking/transaction-and-channel-platforms" TargetMode="External"/><Relationship Id="rId13" Type="http://schemas.openxmlformats.org/officeDocument/2006/relationships/hyperlink" Target="http://www.linkedin.com/company/ncr-corporation" TargetMode="External"/><Relationship Id="rId3" Type="http://schemas.openxmlformats.org/officeDocument/2006/relationships/webSettings" Target="webSettings.xml"/><Relationship Id="rId7" Type="http://schemas.openxmlformats.org/officeDocument/2006/relationships/hyperlink" Target="https://www.ncr.com/banking/digital-banking" TargetMode="External"/><Relationship Id="rId12" Type="http://schemas.openxmlformats.org/officeDocument/2006/relationships/hyperlink" Target="http://www.facebook.com/ncrcor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witter.com/NCRCorporation" TargetMode="External"/><Relationship Id="rId5" Type="http://schemas.openxmlformats.org/officeDocument/2006/relationships/endnotes" Target="endnotes.xml"/><Relationship Id="rId15" Type="http://schemas.openxmlformats.org/officeDocument/2006/relationships/hyperlink" Target="mailto:scott.sykes@ncr.com" TargetMode="External"/><Relationship Id="rId10" Type="http://schemas.openxmlformats.org/officeDocument/2006/relationships/hyperlink" Target="http://www.ncr.com" TargetMode="External"/><Relationship Id="rId4" Type="http://schemas.openxmlformats.org/officeDocument/2006/relationships/footnotes" Target="footnotes.xml"/><Relationship Id="rId9" Type="http://schemas.openxmlformats.org/officeDocument/2006/relationships/hyperlink" Target="https://www.ncr.com/product-catalog/ncr-transaction-processing-authentic" TargetMode="External"/><Relationship Id="rId14" Type="http://schemas.openxmlformats.org/officeDocument/2006/relationships/hyperlink" Target="http://cts.businesswire.com/ct/CT?id=smartlink&amp;url=http%3A%2F%2Fwww.youtube.com%2Fuser%2Fncrcorporation&amp;esheet=51027968&amp;newsitemid=20150128005338&amp;lan=en-US&amp;anchor=www.youtube.com%2Fuser%2Fncrcorporation&amp;index=8&amp;md5=04960ed146188ad833e5882919b7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Coles, Delitha Leonette</dc:creator>
  <cp:lastModifiedBy>Maggie Wise</cp:lastModifiedBy>
  <cp:revision>2</cp:revision>
  <dcterms:created xsi:type="dcterms:W3CDTF">2021-04-27T13:23:00Z</dcterms:created>
  <dcterms:modified xsi:type="dcterms:W3CDTF">2021-04-27T13:23:00Z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etDate">
    <vt:lpwstr>2021-04-26T19:03:12Z</vt:lpwstr>
  </property>
  <property fmtid="{D5CDD505-2E9C-101B-9397-08002B2CF9AE}" pid="4" name="MSIP_Label_dc233488-06c6-4c2b-96ac-e256c4376f84_Method">
    <vt:lpwstr>Privileged</vt:lpwstr>
  </property>
  <property fmtid="{D5CDD505-2E9C-101B-9397-08002B2CF9AE}" pid="5" name="MSIP_Label_dc233488-06c6-4c2b-96ac-e256c4376f84_Name">
    <vt:lpwstr>dc233488-06c6-4c2b-96ac-e256c4376f84</vt:lpwstr>
  </property>
  <property fmtid="{D5CDD505-2E9C-101B-9397-08002B2CF9AE}" pid="6" name="MSIP_Label_dc233488-06c6-4c2b-96ac-e256c4376f84_SiteId">
    <vt:lpwstr>ae4df1f7-611e-444f-897e-f964e1205171</vt:lpwstr>
  </property>
  <property fmtid="{D5CDD505-2E9C-101B-9397-08002B2CF9AE}" pid="7" name="MSIP_Label_dc233488-06c6-4c2b-96ac-e256c4376f84_ActionId">
    <vt:lpwstr>ba5e87bb-0c7a-4b73-9672-3fff3f792f6f</vt:lpwstr>
  </property>
  <property fmtid="{D5CDD505-2E9C-101B-9397-08002B2CF9AE}" pid="8" name="MSIP_Label_dc233488-06c6-4c2b-96ac-e256c4376f84_ContentBits">
    <vt:lpwstr>0</vt:lpwstr>
  </property>
</Properties>
</file>