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58B2" w14:paraId="36EC16CD" w14:textId="77777777" w:rsidTr="00AE61C0">
        <w:tc>
          <w:tcPr>
            <w:tcW w:w="5395" w:type="dxa"/>
          </w:tcPr>
          <w:p w14:paraId="05B42536" w14:textId="77777777" w:rsidR="00E758B2" w:rsidRPr="00AE61C0" w:rsidRDefault="00AE61C0">
            <w:pPr>
              <w:rPr>
                <w:b/>
              </w:rPr>
            </w:pPr>
            <w:r w:rsidRPr="000068DC">
              <w:rPr>
                <w:b/>
                <w:color w:val="FF0000"/>
                <w:sz w:val="28"/>
              </w:rPr>
              <w:t>PRESS RELEASE</w:t>
            </w:r>
          </w:p>
        </w:tc>
        <w:tc>
          <w:tcPr>
            <w:tcW w:w="5395" w:type="dxa"/>
          </w:tcPr>
          <w:p w14:paraId="6B043499" w14:textId="77777777" w:rsidR="000068DC" w:rsidRPr="001369A7" w:rsidRDefault="000068DC" w:rsidP="00E758B2">
            <w:pPr>
              <w:jc w:val="right"/>
              <w:rPr>
                <w:sz w:val="18"/>
              </w:rPr>
            </w:pPr>
          </w:p>
          <w:p w14:paraId="1B62C353" w14:textId="77777777" w:rsidR="00E758B2" w:rsidRPr="001369A7" w:rsidRDefault="00AE61C0" w:rsidP="00E758B2">
            <w:pPr>
              <w:jc w:val="right"/>
              <w:rPr>
                <w:sz w:val="18"/>
              </w:rPr>
            </w:pPr>
            <w:r w:rsidRPr="001369A7">
              <w:rPr>
                <w:sz w:val="18"/>
              </w:rPr>
              <w:t>Contact: Julie Linder</w:t>
            </w:r>
          </w:p>
        </w:tc>
      </w:tr>
      <w:tr w:rsidR="00E758B2" w14:paraId="61AF05E1" w14:textId="77777777" w:rsidTr="00AE61C0">
        <w:tc>
          <w:tcPr>
            <w:tcW w:w="5395" w:type="dxa"/>
          </w:tcPr>
          <w:p w14:paraId="1A339389" w14:textId="77777777" w:rsidR="00AE61C0" w:rsidRPr="00CB3407" w:rsidRDefault="00AE61C0">
            <w:pPr>
              <w:rPr>
                <w:sz w:val="18"/>
              </w:rPr>
            </w:pPr>
            <w:r w:rsidRPr="00CB3407">
              <w:rPr>
                <w:sz w:val="18"/>
              </w:rPr>
              <w:t>For Immediate Release</w:t>
            </w:r>
          </w:p>
          <w:p w14:paraId="47AFB92C" w14:textId="65209940" w:rsidR="00E758B2" w:rsidRDefault="00E649C2">
            <w:r>
              <w:rPr>
                <w:sz w:val="18"/>
              </w:rPr>
              <w:t xml:space="preserve">February </w:t>
            </w:r>
            <w:r w:rsidR="007F32C9">
              <w:rPr>
                <w:sz w:val="18"/>
              </w:rPr>
              <w:t>22</w:t>
            </w:r>
            <w:r w:rsidR="000F0D23">
              <w:rPr>
                <w:sz w:val="18"/>
              </w:rPr>
              <w:t>, 2021</w:t>
            </w:r>
          </w:p>
        </w:tc>
        <w:tc>
          <w:tcPr>
            <w:tcW w:w="5395" w:type="dxa"/>
          </w:tcPr>
          <w:p w14:paraId="3B5FB4FC" w14:textId="2937E3BD" w:rsidR="00E758B2" w:rsidRPr="001369A7" w:rsidRDefault="00190A22" w:rsidP="00B703BE">
            <w:pPr>
              <w:jc w:val="right"/>
              <w:rPr>
                <w:sz w:val="18"/>
              </w:rPr>
            </w:pPr>
            <w:r>
              <w:rPr>
                <w:sz w:val="18"/>
              </w:rPr>
              <w:t>(573) 268-0639</w:t>
            </w:r>
            <w:r w:rsidR="00AE61C0" w:rsidRPr="001369A7">
              <w:rPr>
                <w:sz w:val="18"/>
              </w:rPr>
              <w:br/>
            </w:r>
            <w:hyperlink r:id="rId8" w:history="1">
              <w:r w:rsidRPr="00A0137F">
                <w:rPr>
                  <w:rStyle w:val="Hyperlink"/>
                  <w:sz w:val="18"/>
                </w:rPr>
                <w:t>JLinder@TogetherCU.org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12817CE1" w14:textId="77777777" w:rsidR="00E758B2" w:rsidRPr="00B06CAA" w:rsidRDefault="00E758B2" w:rsidP="00AE61C0">
      <w:pPr>
        <w:pStyle w:val="NoSpacing"/>
        <w:rPr>
          <w:sz w:val="20"/>
          <w:szCs w:val="20"/>
        </w:rPr>
      </w:pPr>
    </w:p>
    <w:p w14:paraId="65036B4C" w14:textId="77777777" w:rsidR="006663EC" w:rsidRDefault="006663EC" w:rsidP="006663E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Onward and Upward</w:t>
      </w:r>
    </w:p>
    <w:p w14:paraId="4F381E19" w14:textId="033AC6FA" w:rsidR="006663EC" w:rsidRPr="00625BE4" w:rsidRDefault="00C83304" w:rsidP="006663EC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Credit Union Exceeds Prior Real Estate Lending Record &amp; Forms New Partnership with Federal Home Loan Banking System</w:t>
      </w:r>
    </w:p>
    <w:p w14:paraId="062966B4" w14:textId="77777777" w:rsidR="00AE61C0" w:rsidRPr="00884331" w:rsidRDefault="00AE61C0" w:rsidP="00AE61C0">
      <w:pPr>
        <w:pStyle w:val="NoSpacing"/>
        <w:jc w:val="center"/>
        <w:rPr>
          <w:i/>
          <w:sz w:val="14"/>
          <w:szCs w:val="18"/>
        </w:rPr>
      </w:pPr>
    </w:p>
    <w:p w14:paraId="269145CB" w14:textId="2A7A11F2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b/>
          <w:bCs/>
          <w:color w:val="0E101A"/>
          <w:sz w:val="20"/>
          <w:szCs w:val="20"/>
        </w:rPr>
        <w:t>Saint Louis, MO – </w:t>
      </w:r>
      <w:r w:rsidRPr="00625BE4">
        <w:rPr>
          <w:rFonts w:eastAsia="Times New Roman" w:cstheme="minorHAnsi"/>
          <w:color w:val="0E101A"/>
          <w:sz w:val="20"/>
          <w:szCs w:val="20"/>
        </w:rPr>
        <w:t xml:space="preserve">Together Credit Union made strong gains in real estate lending in 2020, serving 2,740 members with their home </w:t>
      </w:r>
      <w:r w:rsidR="00376E45">
        <w:rPr>
          <w:rFonts w:eastAsia="Times New Roman" w:cstheme="minorHAnsi"/>
          <w:color w:val="0E101A"/>
          <w:sz w:val="20"/>
          <w:szCs w:val="20"/>
        </w:rPr>
        <w:t>ownership</w:t>
      </w:r>
      <w:r w:rsidRPr="00625BE4">
        <w:rPr>
          <w:rFonts w:eastAsia="Times New Roman" w:cstheme="minorHAnsi"/>
          <w:color w:val="0E101A"/>
          <w:sz w:val="20"/>
          <w:szCs w:val="20"/>
        </w:rPr>
        <w:t xml:space="preserve"> needs. </w:t>
      </w:r>
      <w:r w:rsidR="00055AD5">
        <w:rPr>
          <w:rFonts w:eastAsia="Times New Roman" w:cstheme="minorHAnsi"/>
          <w:color w:val="0E101A"/>
          <w:sz w:val="20"/>
          <w:szCs w:val="20"/>
        </w:rPr>
        <w:t xml:space="preserve">Overall, </w:t>
      </w:r>
      <w:r w:rsidRPr="00625BE4">
        <w:rPr>
          <w:rFonts w:eastAsia="Times New Roman" w:cstheme="minorHAnsi"/>
          <w:color w:val="0E101A"/>
          <w:sz w:val="20"/>
          <w:szCs w:val="20"/>
        </w:rPr>
        <w:t>Together Credit Union’s mortgage servicing portfolio is currently valued at over $1.2 billion, with 10,075 members choosing the credit union for their mortgage loans. </w:t>
      </w:r>
    </w:p>
    <w:p w14:paraId="2E2F3E76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657BF3CE" w14:textId="4DAE7AF4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 xml:space="preserve">“We exceeded our previous record for total loan originations this past year,” said </w:t>
      </w:r>
      <w:r w:rsidR="00505021">
        <w:rPr>
          <w:rFonts w:eastAsia="Times New Roman" w:cstheme="minorHAnsi"/>
          <w:color w:val="0E101A"/>
          <w:sz w:val="20"/>
          <w:szCs w:val="20"/>
        </w:rPr>
        <w:t>Michael “Doc” Dougherty, Chief Lending Officer</w:t>
      </w:r>
      <w:r w:rsidRPr="00625BE4">
        <w:rPr>
          <w:rFonts w:eastAsia="Times New Roman" w:cstheme="minorHAnsi"/>
          <w:color w:val="0E101A"/>
          <w:sz w:val="20"/>
          <w:szCs w:val="20"/>
        </w:rPr>
        <w:t>. “These originations were fueled by a significant increase in mortgage refinancing as well as a resurgence in home purchases.”</w:t>
      </w:r>
    </w:p>
    <w:p w14:paraId="5F4515DA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38417458" w14:textId="04B7ED28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The credit union attributes its success to record low interest rates, which</w:t>
      </w:r>
      <w:r w:rsidR="00ED138F">
        <w:rPr>
          <w:rFonts w:eastAsia="Times New Roman" w:cstheme="minorHAnsi"/>
          <w:color w:val="0E101A"/>
          <w:sz w:val="20"/>
          <w:szCs w:val="20"/>
        </w:rPr>
        <w:t xml:space="preserve"> </w:t>
      </w:r>
      <w:r w:rsidRPr="00625BE4">
        <w:rPr>
          <w:rFonts w:eastAsia="Times New Roman" w:cstheme="minorHAnsi"/>
          <w:color w:val="0E101A"/>
          <w:sz w:val="20"/>
          <w:szCs w:val="20"/>
        </w:rPr>
        <w:t>motivated homeowners to lower their monthly payments by refinancing, and specialized mortgage products, like the credit union’s first-time homebuyer program, offered several attractive benefits to members. </w:t>
      </w:r>
    </w:p>
    <w:p w14:paraId="42191E13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58A38B07" w14:textId="36F48020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Christian Lown, EVP and Chief Financial Officer at Freddie Mac, echoed these findings during a recent </w:t>
      </w:r>
      <w:hyperlink r:id="rId9" w:tgtFrame="_blank" w:history="1">
        <w:r w:rsidRPr="00625BE4">
          <w:rPr>
            <w:rFonts w:eastAsia="Times New Roman" w:cstheme="minorHAnsi"/>
            <w:color w:val="4A6EE0"/>
            <w:sz w:val="20"/>
            <w:szCs w:val="20"/>
            <w:u w:val="single"/>
          </w:rPr>
          <w:t>call</w:t>
        </w:r>
      </w:hyperlink>
      <w:r w:rsidRPr="00625BE4">
        <w:rPr>
          <w:rFonts w:eastAsia="Times New Roman" w:cstheme="minorHAnsi"/>
          <w:color w:val="0E101A"/>
          <w:sz w:val="20"/>
          <w:szCs w:val="20"/>
        </w:rPr>
        <w:t xml:space="preserve"> to discuss fourth quarter and full-year 2020 financial and business results. Noting, </w:t>
      </w:r>
      <w:r w:rsidR="00724BD9" w:rsidRPr="00724BD9">
        <w:rPr>
          <w:rFonts w:eastAsia="Times New Roman" w:cstheme="minorHAnsi"/>
          <w:color w:val="0E101A"/>
          <w:sz w:val="20"/>
          <w:szCs w:val="20"/>
        </w:rPr>
        <w:t>refinancing activity helped reduce mortgage payments for 2.7 million families</w:t>
      </w:r>
      <w:r w:rsidR="00724BD9">
        <w:rPr>
          <w:rFonts w:eastAsia="Times New Roman" w:cstheme="minorHAnsi"/>
          <w:color w:val="0E101A"/>
          <w:sz w:val="20"/>
          <w:szCs w:val="20"/>
        </w:rPr>
        <w:t>,</w:t>
      </w:r>
      <w:r w:rsidRPr="00625BE4">
        <w:rPr>
          <w:rFonts w:eastAsia="Times New Roman" w:cstheme="minorHAnsi"/>
          <w:color w:val="0E101A"/>
          <w:sz w:val="20"/>
          <w:szCs w:val="20"/>
        </w:rPr>
        <w:t xml:space="preserve"> and first-time homebuyers represent</w:t>
      </w:r>
      <w:r w:rsidR="00724BD9">
        <w:rPr>
          <w:rFonts w:eastAsia="Times New Roman" w:cstheme="minorHAnsi"/>
          <w:color w:val="0E101A"/>
          <w:sz w:val="20"/>
          <w:szCs w:val="20"/>
        </w:rPr>
        <w:t>ed</w:t>
      </w:r>
      <w:r w:rsidRPr="00625BE4">
        <w:rPr>
          <w:rFonts w:eastAsia="Times New Roman" w:cstheme="minorHAnsi"/>
          <w:color w:val="0E101A"/>
          <w:sz w:val="20"/>
          <w:szCs w:val="20"/>
        </w:rPr>
        <w:t xml:space="preserve"> 46% of the 1.1 million homebuyers supported by the government-sponsored enterprise. </w:t>
      </w:r>
    </w:p>
    <w:p w14:paraId="15197A5D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0D780E11" w14:textId="2877269B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 xml:space="preserve">Together Credit Union also </w:t>
      </w:r>
      <w:r w:rsidR="00ED138F">
        <w:rPr>
          <w:rFonts w:eastAsia="Times New Roman" w:cstheme="minorHAnsi"/>
          <w:color w:val="0E101A"/>
          <w:sz w:val="20"/>
          <w:szCs w:val="20"/>
        </w:rPr>
        <w:t>consider</w:t>
      </w:r>
      <w:r w:rsidRPr="00625BE4">
        <w:rPr>
          <w:rFonts w:eastAsia="Times New Roman" w:cstheme="minorHAnsi"/>
          <w:color w:val="0E101A"/>
          <w:sz w:val="20"/>
          <w:szCs w:val="20"/>
        </w:rPr>
        <w:t>s free educational resources, like </w:t>
      </w:r>
      <w:r w:rsidRPr="00625BE4">
        <w:rPr>
          <w:rFonts w:eastAsia="Times New Roman" w:cstheme="minorHAnsi"/>
          <w:i/>
          <w:iCs/>
          <w:color w:val="0E101A"/>
          <w:sz w:val="20"/>
          <w:szCs w:val="20"/>
        </w:rPr>
        <w:t>HomeAdvantage®</w:t>
      </w:r>
      <w:r w:rsidRPr="00625BE4">
        <w:rPr>
          <w:rFonts w:eastAsia="Times New Roman" w:cstheme="minorHAnsi"/>
          <w:color w:val="0E101A"/>
          <w:sz w:val="20"/>
          <w:szCs w:val="20"/>
        </w:rPr>
        <w:t>, which helps members search, buy, and sell real estate and earn cash rewards at closing*, aided</w:t>
      </w:r>
      <w:r w:rsidR="00E37F79">
        <w:rPr>
          <w:rFonts w:eastAsia="Times New Roman" w:cstheme="minorHAnsi"/>
          <w:color w:val="0E101A"/>
          <w:sz w:val="20"/>
          <w:szCs w:val="20"/>
        </w:rPr>
        <w:t xml:space="preserve"> </w:t>
      </w:r>
      <w:r w:rsidRPr="00625BE4">
        <w:rPr>
          <w:rFonts w:eastAsia="Times New Roman" w:cstheme="minorHAnsi"/>
          <w:color w:val="0E101A"/>
          <w:sz w:val="20"/>
          <w:szCs w:val="20"/>
        </w:rPr>
        <w:t>the credit union’s success. In 2020, Together Credit Union members netted more than $90,000 in cash rewards.  </w:t>
      </w:r>
    </w:p>
    <w:p w14:paraId="51C05234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5A1E7F4A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Because the COVID-19 pandemic created various challenges in 2020, Together Credit Union embraced new and innovative fintech to provide members with flexible access to critical financial documents and accounts, including the ability to e-close on mortgages. </w:t>
      </w:r>
    </w:p>
    <w:p w14:paraId="5F061106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06C7F68A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E-closings empower borrowers by providing:</w:t>
      </w:r>
    </w:p>
    <w:p w14:paraId="4049BA10" w14:textId="77777777" w:rsidR="00625BE4" w:rsidRPr="00625BE4" w:rsidRDefault="00625BE4" w:rsidP="00625BE4">
      <w:pPr>
        <w:spacing w:after="0" w:line="240" w:lineRule="auto"/>
        <w:ind w:left="720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1) Convenience: The lending process can be completed from any location. </w:t>
      </w:r>
    </w:p>
    <w:p w14:paraId="6773DEE9" w14:textId="77777777" w:rsidR="00625BE4" w:rsidRPr="00625BE4" w:rsidRDefault="00625BE4" w:rsidP="00625BE4">
      <w:pPr>
        <w:spacing w:after="0" w:line="240" w:lineRule="auto"/>
        <w:ind w:left="720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2) Speed: Borrowers have greater access to documents prior to closing, and the signing process is more efficient.</w:t>
      </w:r>
    </w:p>
    <w:p w14:paraId="633B8E73" w14:textId="77777777" w:rsidR="00625BE4" w:rsidRPr="00625BE4" w:rsidRDefault="00625BE4" w:rsidP="00625BE4">
      <w:pPr>
        <w:spacing w:after="0" w:line="240" w:lineRule="auto"/>
        <w:ind w:left="720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3) Accuracy: The process helps to prevent missing signatures or documents required for closing. </w:t>
      </w:r>
    </w:p>
    <w:p w14:paraId="7ED4AAA4" w14:textId="58B67F63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 xml:space="preserve">E-closings also benefit the credit union through cost savings and strengthened loan quality, higher data quality, and enhanced </w:t>
      </w:r>
      <w:r w:rsidR="00376E45">
        <w:rPr>
          <w:rFonts w:eastAsia="Times New Roman" w:cstheme="minorHAnsi"/>
          <w:color w:val="0E101A"/>
          <w:sz w:val="20"/>
          <w:szCs w:val="20"/>
        </w:rPr>
        <w:t xml:space="preserve">proof of compliance. </w:t>
      </w: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3FA33FC0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26C4D2EC" w14:textId="69CE061C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Looking ahead, the credit union will continue to simplify the homebuying process</w:t>
      </w:r>
      <w:r w:rsidR="00A406B2">
        <w:rPr>
          <w:rFonts w:eastAsia="Times New Roman" w:cstheme="minorHAnsi"/>
          <w:color w:val="0E101A"/>
          <w:sz w:val="20"/>
          <w:szCs w:val="20"/>
        </w:rPr>
        <w:t xml:space="preserve"> and improve member experiences by focusing on digitally-powered personal service. </w:t>
      </w:r>
      <w:r w:rsidR="00A406B2" w:rsidRPr="00505021">
        <w:rPr>
          <w:rFonts w:eastAsia="Times New Roman" w:cstheme="minorHAnsi"/>
          <w:color w:val="0E101A"/>
          <w:sz w:val="20"/>
          <w:szCs w:val="20"/>
          <w:u w:val="single"/>
        </w:rPr>
        <w:t xml:space="preserve">Currently, Together Credit Union has partnered with the Federal Home Loan Banking System to </w:t>
      </w:r>
      <w:r w:rsidRPr="00505021">
        <w:rPr>
          <w:rFonts w:eastAsia="Times New Roman" w:cstheme="minorHAnsi"/>
          <w:color w:val="0E101A"/>
          <w:sz w:val="20"/>
          <w:szCs w:val="20"/>
          <w:u w:val="single"/>
        </w:rPr>
        <w:t>pilot the acceptance of eNotes as collateral</w:t>
      </w:r>
      <w:r w:rsidR="00A406B2" w:rsidRPr="00505021">
        <w:rPr>
          <w:rFonts w:eastAsia="Times New Roman" w:cstheme="minorHAnsi"/>
          <w:color w:val="0E101A"/>
          <w:sz w:val="20"/>
          <w:szCs w:val="20"/>
          <w:u w:val="single"/>
        </w:rPr>
        <w:t>, an important milestone for the consortium</w:t>
      </w:r>
      <w:r w:rsidRPr="00505021">
        <w:rPr>
          <w:rFonts w:eastAsia="Times New Roman" w:cstheme="minorHAnsi"/>
          <w:color w:val="0E101A"/>
          <w:sz w:val="20"/>
          <w:szCs w:val="20"/>
          <w:u w:val="single"/>
        </w:rPr>
        <w:t>.</w:t>
      </w:r>
    </w:p>
    <w:p w14:paraId="67DC76C8" w14:textId="77777777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 </w:t>
      </w:r>
    </w:p>
    <w:p w14:paraId="0FC5C8B3" w14:textId="7CA9C47C" w:rsidR="00625BE4" w:rsidRPr="00625BE4" w:rsidRDefault="00625BE4" w:rsidP="00625BE4">
      <w:pPr>
        <w:spacing w:after="0" w:line="240" w:lineRule="auto"/>
        <w:rPr>
          <w:rFonts w:eastAsia="Times New Roman" w:cstheme="minorHAnsi"/>
          <w:color w:val="0E101A"/>
          <w:sz w:val="20"/>
          <w:szCs w:val="20"/>
        </w:rPr>
      </w:pPr>
      <w:r w:rsidRPr="00625BE4">
        <w:rPr>
          <w:rFonts w:eastAsia="Times New Roman" w:cstheme="minorHAnsi"/>
          <w:color w:val="0E101A"/>
          <w:sz w:val="20"/>
          <w:szCs w:val="20"/>
        </w:rPr>
        <w:t>To learn more about mortgage loan products and services, please visit Together Credit Union’s </w:t>
      </w:r>
      <w:hyperlink r:id="rId10" w:tgtFrame="_blank" w:history="1">
        <w:r w:rsidRPr="00625BE4">
          <w:rPr>
            <w:rFonts w:eastAsia="Times New Roman" w:cstheme="minorHAnsi"/>
            <w:color w:val="4A6EE0"/>
            <w:sz w:val="20"/>
            <w:szCs w:val="20"/>
            <w:u w:val="single"/>
          </w:rPr>
          <w:t>website.</w:t>
        </w:r>
      </w:hyperlink>
      <w:r w:rsidRPr="00625BE4">
        <w:rPr>
          <w:rFonts w:eastAsia="Times New Roman" w:cstheme="minorHAnsi"/>
          <w:color w:val="0E101A"/>
          <w:sz w:val="20"/>
          <w:szCs w:val="20"/>
        </w:rPr>
        <w:t> For more information regarding this release, please contact Julie Linder, Public Relations &amp; Events Strategist, by calling (573) 268-0639.</w:t>
      </w:r>
      <w:r>
        <w:rPr>
          <w:rFonts w:eastAsia="Times New Roman" w:cstheme="minorHAnsi"/>
          <w:color w:val="0E101A"/>
          <w:sz w:val="20"/>
          <w:szCs w:val="20"/>
        </w:rPr>
        <w:br/>
      </w:r>
    </w:p>
    <w:p w14:paraId="78CD4B3E" w14:textId="727DFCDC" w:rsidR="003059F8" w:rsidRPr="00625BE4" w:rsidRDefault="00625BE4" w:rsidP="00625BE4">
      <w:pPr>
        <w:pStyle w:val="NoSpacing"/>
        <w:jc w:val="center"/>
        <w:rPr>
          <w:rFonts w:cstheme="minorHAnsi"/>
          <w:bCs/>
          <w:sz w:val="20"/>
          <w:szCs w:val="20"/>
        </w:rPr>
      </w:pPr>
      <w:r w:rsidRPr="00625BE4">
        <w:rPr>
          <w:rFonts w:cstheme="minorHAnsi"/>
          <w:bCs/>
          <w:sz w:val="20"/>
          <w:szCs w:val="20"/>
        </w:rPr>
        <w:t>###</w:t>
      </w:r>
    </w:p>
    <w:p w14:paraId="73194192" w14:textId="0B536DB3" w:rsidR="009E1A90" w:rsidRDefault="009E1A90" w:rsidP="000F0D23">
      <w:pPr>
        <w:pStyle w:val="NoSpacing"/>
        <w:rPr>
          <w:b/>
          <w:i/>
          <w:iCs/>
          <w:sz w:val="18"/>
          <w:szCs w:val="18"/>
        </w:rPr>
      </w:pPr>
      <w:r w:rsidRPr="00625BE4">
        <w:rPr>
          <w:rFonts w:cstheme="minorHAnsi"/>
          <w:b/>
          <w:i/>
          <w:iCs/>
          <w:sz w:val="20"/>
          <w:szCs w:val="20"/>
        </w:rPr>
        <w:t>*Restrictions apply.</w:t>
      </w:r>
      <w:r>
        <w:rPr>
          <w:b/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br/>
      </w:r>
    </w:p>
    <w:p w14:paraId="4C6D7D11" w14:textId="04B01B70" w:rsidR="000F0D23" w:rsidRPr="002F259D" w:rsidRDefault="00F00CFB" w:rsidP="000F0D23">
      <w:pPr>
        <w:pStyle w:val="NoSpacing"/>
        <w:rPr>
          <w:bCs/>
          <w:i/>
          <w:iCs/>
          <w:sz w:val="18"/>
          <w:szCs w:val="18"/>
        </w:rPr>
      </w:pPr>
      <w:r w:rsidRPr="002F259D">
        <w:rPr>
          <w:b/>
          <w:i/>
          <w:iCs/>
          <w:sz w:val="18"/>
          <w:szCs w:val="18"/>
        </w:rPr>
        <w:t>ABOUT</w:t>
      </w:r>
      <w:r w:rsidR="000F0D23" w:rsidRPr="002F259D">
        <w:rPr>
          <w:b/>
          <w:i/>
          <w:iCs/>
          <w:sz w:val="18"/>
          <w:szCs w:val="18"/>
        </w:rPr>
        <w:t xml:space="preserve">: </w:t>
      </w:r>
      <w:r w:rsidR="000F0D23" w:rsidRPr="002F259D">
        <w:rPr>
          <w:bCs/>
          <w:i/>
          <w:iCs/>
          <w:sz w:val="18"/>
          <w:szCs w:val="18"/>
        </w:rPr>
        <w:t>For more than 80 years, Together Credit Union has served as a trusted financial partner, empowering more than 136,000 Members nationwide to achieve their goals. As a result, the Credit Union is recognized as a two-time Best-In-State Credit Union by Forbes Magazine and chosen as a 2020 Corporate Philanthropy honoree by both the Credit Union National Association and the St. Louis Business Journal.</w:t>
      </w:r>
    </w:p>
    <w:p w14:paraId="25375A24" w14:textId="14A781BD" w:rsidR="000F0D23" w:rsidRPr="002F259D" w:rsidRDefault="000F0D23" w:rsidP="000F0D23">
      <w:pPr>
        <w:pStyle w:val="NoSpacing"/>
        <w:rPr>
          <w:bCs/>
          <w:i/>
          <w:iCs/>
          <w:sz w:val="18"/>
          <w:szCs w:val="18"/>
        </w:rPr>
      </w:pPr>
      <w:r w:rsidRPr="002F259D">
        <w:rPr>
          <w:bCs/>
          <w:i/>
          <w:iCs/>
          <w:sz w:val="18"/>
          <w:szCs w:val="18"/>
        </w:rPr>
        <w:t xml:space="preserve"> </w:t>
      </w:r>
    </w:p>
    <w:p w14:paraId="33611D47" w14:textId="311FE191" w:rsidR="001369A7" w:rsidRPr="002F259D" w:rsidRDefault="000F0D23" w:rsidP="000F0D23">
      <w:pPr>
        <w:pStyle w:val="NoSpacing"/>
        <w:rPr>
          <w:bCs/>
          <w:i/>
          <w:iCs/>
          <w:sz w:val="16"/>
          <w:szCs w:val="20"/>
        </w:rPr>
      </w:pPr>
      <w:r w:rsidRPr="002F259D">
        <w:rPr>
          <w:bCs/>
          <w:i/>
          <w:iCs/>
          <w:sz w:val="18"/>
          <w:szCs w:val="18"/>
        </w:rPr>
        <w:t>With more than $2 billion in assets, the Credit Union is an independent financial institution, owned and operated by its membership, chartered by the state of Missouri, and federally</w:t>
      </w:r>
      <w:r w:rsidR="00D7276F" w:rsidRPr="002F259D">
        <w:rPr>
          <w:bCs/>
          <w:i/>
          <w:iCs/>
          <w:sz w:val="18"/>
          <w:szCs w:val="18"/>
        </w:rPr>
        <w:t xml:space="preserve"> </w:t>
      </w:r>
      <w:r w:rsidRPr="002F259D">
        <w:rPr>
          <w:bCs/>
          <w:i/>
          <w:iCs/>
          <w:sz w:val="18"/>
          <w:szCs w:val="18"/>
        </w:rPr>
        <w:t>insured by the National Credit Union Administration (NCUA). The Credit Union is not a subsidiary of Anheuser-Busch Companies, Inc., or any of its affiliates.</w:t>
      </w:r>
    </w:p>
    <w:sectPr w:rsidR="001369A7" w:rsidRPr="002F259D" w:rsidSect="00E758B2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5EB6" w14:textId="77777777" w:rsidR="006F1886" w:rsidRDefault="006F1886" w:rsidP="00E758B2">
      <w:pPr>
        <w:spacing w:after="0" w:line="240" w:lineRule="auto"/>
      </w:pPr>
      <w:r>
        <w:separator/>
      </w:r>
    </w:p>
  </w:endnote>
  <w:endnote w:type="continuationSeparator" w:id="0">
    <w:p w14:paraId="72BD1539" w14:textId="77777777" w:rsidR="006F1886" w:rsidRDefault="006F1886" w:rsidP="00E7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1ADA" w14:textId="77777777" w:rsidR="006F1886" w:rsidRDefault="006F1886" w:rsidP="00E758B2">
      <w:pPr>
        <w:spacing w:after="0" w:line="240" w:lineRule="auto"/>
      </w:pPr>
      <w:r>
        <w:separator/>
      </w:r>
    </w:p>
  </w:footnote>
  <w:footnote w:type="continuationSeparator" w:id="0">
    <w:p w14:paraId="1BE87E72" w14:textId="77777777" w:rsidR="006F1886" w:rsidRDefault="006F1886" w:rsidP="00E7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51F3" w14:textId="7215ED74" w:rsidR="00E758B2" w:rsidRDefault="00190A22" w:rsidP="00190A22">
    <w:pPr>
      <w:pStyle w:val="Header"/>
      <w:jc w:val="center"/>
    </w:pPr>
    <w:r>
      <w:rPr>
        <w:noProof/>
      </w:rPr>
      <w:drawing>
        <wp:inline distT="0" distB="0" distL="0" distR="0" wp14:anchorId="523192E9" wp14:editId="0204F2D7">
          <wp:extent cx="2170693" cy="904875"/>
          <wp:effectExtent l="0" t="0" r="127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rbes eMail Signatu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498"/>
                  <a:stretch/>
                </pic:blipFill>
                <pic:spPr bwMode="auto">
                  <a:xfrm>
                    <a:off x="0" y="0"/>
                    <a:ext cx="2183889" cy="910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A44"/>
    <w:multiLevelType w:val="hybridMultilevel"/>
    <w:tmpl w:val="00A0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EC5"/>
    <w:multiLevelType w:val="hybridMultilevel"/>
    <w:tmpl w:val="FFE6C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42"/>
    <w:multiLevelType w:val="hybridMultilevel"/>
    <w:tmpl w:val="9148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7C0E"/>
    <w:multiLevelType w:val="hybridMultilevel"/>
    <w:tmpl w:val="066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6163"/>
    <w:multiLevelType w:val="hybridMultilevel"/>
    <w:tmpl w:val="B99A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B4859"/>
    <w:multiLevelType w:val="hybridMultilevel"/>
    <w:tmpl w:val="99C0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B2"/>
    <w:rsid w:val="00000148"/>
    <w:rsid w:val="000005D1"/>
    <w:rsid w:val="000068DC"/>
    <w:rsid w:val="000279D9"/>
    <w:rsid w:val="00033A5E"/>
    <w:rsid w:val="00052DB1"/>
    <w:rsid w:val="00055065"/>
    <w:rsid w:val="00055AD5"/>
    <w:rsid w:val="00061303"/>
    <w:rsid w:val="00064378"/>
    <w:rsid w:val="000673E3"/>
    <w:rsid w:val="00076D28"/>
    <w:rsid w:val="00080854"/>
    <w:rsid w:val="000A47C3"/>
    <w:rsid w:val="000B2D79"/>
    <w:rsid w:val="000C1A27"/>
    <w:rsid w:val="000E5975"/>
    <w:rsid w:val="000E65B2"/>
    <w:rsid w:val="000F0D23"/>
    <w:rsid w:val="000F53ED"/>
    <w:rsid w:val="00100967"/>
    <w:rsid w:val="00103003"/>
    <w:rsid w:val="00116ED8"/>
    <w:rsid w:val="001369A7"/>
    <w:rsid w:val="00156B67"/>
    <w:rsid w:val="00174822"/>
    <w:rsid w:val="001859E4"/>
    <w:rsid w:val="00190A22"/>
    <w:rsid w:val="00195494"/>
    <w:rsid w:val="0019629C"/>
    <w:rsid w:val="001A3879"/>
    <w:rsid w:val="001B232C"/>
    <w:rsid w:val="001C653D"/>
    <w:rsid w:val="001C7BDB"/>
    <w:rsid w:val="001D633A"/>
    <w:rsid w:val="00220B8D"/>
    <w:rsid w:val="00222BBA"/>
    <w:rsid w:val="00226827"/>
    <w:rsid w:val="00256C2D"/>
    <w:rsid w:val="00261AE5"/>
    <w:rsid w:val="00264DE1"/>
    <w:rsid w:val="00273D5C"/>
    <w:rsid w:val="002915F3"/>
    <w:rsid w:val="002B0C39"/>
    <w:rsid w:val="002C1DD8"/>
    <w:rsid w:val="002D5400"/>
    <w:rsid w:val="002D5826"/>
    <w:rsid w:val="002D5CC2"/>
    <w:rsid w:val="002E4F0E"/>
    <w:rsid w:val="002F259D"/>
    <w:rsid w:val="003059F8"/>
    <w:rsid w:val="00313E89"/>
    <w:rsid w:val="003160F0"/>
    <w:rsid w:val="00337BDC"/>
    <w:rsid w:val="0034167D"/>
    <w:rsid w:val="00341E20"/>
    <w:rsid w:val="00371E7B"/>
    <w:rsid w:val="003758FB"/>
    <w:rsid w:val="00376E45"/>
    <w:rsid w:val="003933D7"/>
    <w:rsid w:val="003976B6"/>
    <w:rsid w:val="003A3E27"/>
    <w:rsid w:val="003B3A32"/>
    <w:rsid w:val="003C6E19"/>
    <w:rsid w:val="003C7B1D"/>
    <w:rsid w:val="003D4D5C"/>
    <w:rsid w:val="003F30F7"/>
    <w:rsid w:val="00401A9E"/>
    <w:rsid w:val="00420148"/>
    <w:rsid w:val="00433C6C"/>
    <w:rsid w:val="00435FF2"/>
    <w:rsid w:val="004402D0"/>
    <w:rsid w:val="00440B0C"/>
    <w:rsid w:val="004468A8"/>
    <w:rsid w:val="004512FD"/>
    <w:rsid w:val="00456D20"/>
    <w:rsid w:val="0046550B"/>
    <w:rsid w:val="004668D7"/>
    <w:rsid w:val="00470648"/>
    <w:rsid w:val="00485878"/>
    <w:rsid w:val="00491E5B"/>
    <w:rsid w:val="004C01B5"/>
    <w:rsid w:val="004F565A"/>
    <w:rsid w:val="0050318C"/>
    <w:rsid w:val="00505021"/>
    <w:rsid w:val="0051169C"/>
    <w:rsid w:val="00520627"/>
    <w:rsid w:val="0053293B"/>
    <w:rsid w:val="00540212"/>
    <w:rsid w:val="00577AF6"/>
    <w:rsid w:val="005868BB"/>
    <w:rsid w:val="005C2043"/>
    <w:rsid w:val="005E291F"/>
    <w:rsid w:val="006058A3"/>
    <w:rsid w:val="006208A6"/>
    <w:rsid w:val="0062132A"/>
    <w:rsid w:val="00623F14"/>
    <w:rsid w:val="0062447A"/>
    <w:rsid w:val="00625BE4"/>
    <w:rsid w:val="0063698E"/>
    <w:rsid w:val="00637B2E"/>
    <w:rsid w:val="00643D6C"/>
    <w:rsid w:val="00645EF5"/>
    <w:rsid w:val="00646918"/>
    <w:rsid w:val="00657625"/>
    <w:rsid w:val="006663EC"/>
    <w:rsid w:val="006856A1"/>
    <w:rsid w:val="006946B4"/>
    <w:rsid w:val="006D763A"/>
    <w:rsid w:val="006F1886"/>
    <w:rsid w:val="007047C3"/>
    <w:rsid w:val="007147BD"/>
    <w:rsid w:val="00716421"/>
    <w:rsid w:val="00724BD9"/>
    <w:rsid w:val="00731E36"/>
    <w:rsid w:val="0074353F"/>
    <w:rsid w:val="0074391A"/>
    <w:rsid w:val="00753CC1"/>
    <w:rsid w:val="0077470F"/>
    <w:rsid w:val="00781D16"/>
    <w:rsid w:val="00792D6E"/>
    <w:rsid w:val="00794A3B"/>
    <w:rsid w:val="00797C07"/>
    <w:rsid w:val="007B01C2"/>
    <w:rsid w:val="007D7EAD"/>
    <w:rsid w:val="007F32C9"/>
    <w:rsid w:val="00803815"/>
    <w:rsid w:val="00804975"/>
    <w:rsid w:val="00806558"/>
    <w:rsid w:val="0080757D"/>
    <w:rsid w:val="0081312F"/>
    <w:rsid w:val="00815B01"/>
    <w:rsid w:val="00836C3F"/>
    <w:rsid w:val="00841113"/>
    <w:rsid w:val="0084639D"/>
    <w:rsid w:val="00850AFA"/>
    <w:rsid w:val="00854F0C"/>
    <w:rsid w:val="0086108E"/>
    <w:rsid w:val="00861EE2"/>
    <w:rsid w:val="00864289"/>
    <w:rsid w:val="00872BD2"/>
    <w:rsid w:val="00884331"/>
    <w:rsid w:val="008A129A"/>
    <w:rsid w:val="008B5071"/>
    <w:rsid w:val="008B53E7"/>
    <w:rsid w:val="008C7BC5"/>
    <w:rsid w:val="008F2FCB"/>
    <w:rsid w:val="008F5687"/>
    <w:rsid w:val="00936BC9"/>
    <w:rsid w:val="0096171D"/>
    <w:rsid w:val="00977A90"/>
    <w:rsid w:val="009964F8"/>
    <w:rsid w:val="009A4E8E"/>
    <w:rsid w:val="009B59EF"/>
    <w:rsid w:val="009C54E2"/>
    <w:rsid w:val="009D0592"/>
    <w:rsid w:val="009D0D6E"/>
    <w:rsid w:val="009E1A90"/>
    <w:rsid w:val="009E485E"/>
    <w:rsid w:val="00A053BF"/>
    <w:rsid w:val="00A10172"/>
    <w:rsid w:val="00A110AC"/>
    <w:rsid w:val="00A21C02"/>
    <w:rsid w:val="00A3671F"/>
    <w:rsid w:val="00A367FA"/>
    <w:rsid w:val="00A406B2"/>
    <w:rsid w:val="00A4321E"/>
    <w:rsid w:val="00A63AC7"/>
    <w:rsid w:val="00A75AFD"/>
    <w:rsid w:val="00A84EB3"/>
    <w:rsid w:val="00A9420F"/>
    <w:rsid w:val="00A96D21"/>
    <w:rsid w:val="00AA5996"/>
    <w:rsid w:val="00AB438D"/>
    <w:rsid w:val="00AB73C8"/>
    <w:rsid w:val="00AE290A"/>
    <w:rsid w:val="00AE3C92"/>
    <w:rsid w:val="00AE61C0"/>
    <w:rsid w:val="00AF7A83"/>
    <w:rsid w:val="00B06CAA"/>
    <w:rsid w:val="00B35FD1"/>
    <w:rsid w:val="00B536BB"/>
    <w:rsid w:val="00B6286D"/>
    <w:rsid w:val="00B7034D"/>
    <w:rsid w:val="00B703BE"/>
    <w:rsid w:val="00B90975"/>
    <w:rsid w:val="00B9566C"/>
    <w:rsid w:val="00BA656A"/>
    <w:rsid w:val="00BB239A"/>
    <w:rsid w:val="00BC2091"/>
    <w:rsid w:val="00BC66C6"/>
    <w:rsid w:val="00BD00A1"/>
    <w:rsid w:val="00BF52D6"/>
    <w:rsid w:val="00C04B6B"/>
    <w:rsid w:val="00C1020C"/>
    <w:rsid w:val="00C12861"/>
    <w:rsid w:val="00C22DA4"/>
    <w:rsid w:val="00C27E01"/>
    <w:rsid w:val="00C672A2"/>
    <w:rsid w:val="00C672FB"/>
    <w:rsid w:val="00C75264"/>
    <w:rsid w:val="00C83304"/>
    <w:rsid w:val="00C915CC"/>
    <w:rsid w:val="00C92064"/>
    <w:rsid w:val="00CA7E8E"/>
    <w:rsid w:val="00CB3407"/>
    <w:rsid w:val="00CC02CE"/>
    <w:rsid w:val="00CC2FB1"/>
    <w:rsid w:val="00CD199A"/>
    <w:rsid w:val="00CE32C4"/>
    <w:rsid w:val="00D132E0"/>
    <w:rsid w:val="00D150E3"/>
    <w:rsid w:val="00D17ECD"/>
    <w:rsid w:val="00D262BE"/>
    <w:rsid w:val="00D32152"/>
    <w:rsid w:val="00D32E7E"/>
    <w:rsid w:val="00D46D61"/>
    <w:rsid w:val="00D5551D"/>
    <w:rsid w:val="00D64239"/>
    <w:rsid w:val="00D7276F"/>
    <w:rsid w:val="00DA16BA"/>
    <w:rsid w:val="00DA2A20"/>
    <w:rsid w:val="00DA7ECA"/>
    <w:rsid w:val="00DD3A3B"/>
    <w:rsid w:val="00DD7EFF"/>
    <w:rsid w:val="00DF3620"/>
    <w:rsid w:val="00E15408"/>
    <w:rsid w:val="00E3482E"/>
    <w:rsid w:val="00E37F79"/>
    <w:rsid w:val="00E50CDF"/>
    <w:rsid w:val="00E57022"/>
    <w:rsid w:val="00E649C2"/>
    <w:rsid w:val="00E65E33"/>
    <w:rsid w:val="00E74D5A"/>
    <w:rsid w:val="00E75762"/>
    <w:rsid w:val="00E758B2"/>
    <w:rsid w:val="00EC5F69"/>
    <w:rsid w:val="00ED138F"/>
    <w:rsid w:val="00EE1FB8"/>
    <w:rsid w:val="00EF0ED6"/>
    <w:rsid w:val="00F00CFB"/>
    <w:rsid w:val="00F06DD6"/>
    <w:rsid w:val="00F1158B"/>
    <w:rsid w:val="00F34F96"/>
    <w:rsid w:val="00F41A1E"/>
    <w:rsid w:val="00F45ADE"/>
    <w:rsid w:val="00F60116"/>
    <w:rsid w:val="00F630CA"/>
    <w:rsid w:val="00F650A2"/>
    <w:rsid w:val="00FA6649"/>
    <w:rsid w:val="00FB29A7"/>
    <w:rsid w:val="00FC35AB"/>
    <w:rsid w:val="00FC489B"/>
    <w:rsid w:val="00FC5878"/>
    <w:rsid w:val="00FD2AFE"/>
    <w:rsid w:val="00FE1FA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AC19C"/>
  <w15:chartTrackingRefBased/>
  <w15:docId w15:val="{90F6BE50-1E7A-41F6-B97B-178044F6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B2"/>
  </w:style>
  <w:style w:type="paragraph" w:styleId="Footer">
    <w:name w:val="footer"/>
    <w:basedOn w:val="Normal"/>
    <w:link w:val="FooterChar"/>
    <w:uiPriority w:val="99"/>
    <w:unhideWhenUsed/>
    <w:rsid w:val="00E7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B2"/>
  </w:style>
  <w:style w:type="table" w:styleId="TableGrid">
    <w:name w:val="Table Grid"/>
    <w:basedOn w:val="TableNormal"/>
    <w:uiPriority w:val="39"/>
    <w:rsid w:val="00E7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61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1C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B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A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A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76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6D20"/>
    <w:rPr>
      <w:i/>
      <w:iCs/>
    </w:rPr>
  </w:style>
  <w:style w:type="paragraph" w:styleId="ListParagraph">
    <w:name w:val="List Paragraph"/>
    <w:basedOn w:val="Normal"/>
    <w:uiPriority w:val="34"/>
    <w:qFormat/>
    <w:rsid w:val="000279D9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3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nder@TogetherC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ogethercu.org/home/mortg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diemac.com/perspectives/chris_lown/20210211_financial_results_4q2020.page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D94F-C929-44E0-8251-038BCEAA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ABECU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Linder, Julie</dc:creator>
  <cp:keywords/>
  <dc:description/>
  <cp:lastModifiedBy>Linder, Julie</cp:lastModifiedBy>
  <cp:revision>5</cp:revision>
  <cp:lastPrinted>2021-01-13T19:59:00Z</cp:lastPrinted>
  <dcterms:created xsi:type="dcterms:W3CDTF">2021-02-22T18:15:00Z</dcterms:created>
  <dcterms:modified xsi:type="dcterms:W3CDTF">2021-02-22T18:53:00Z</dcterms:modified>
</cp:coreProperties>
</file>