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CA0E" w14:textId="2B805C76" w:rsidR="00B76F3D" w:rsidRDefault="00390D2B" w:rsidP="00B76F3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7F1393E" wp14:editId="24CDFC30">
            <wp:simplePos x="0" y="0"/>
            <wp:positionH relativeFrom="margin">
              <wp:posOffset>-45720</wp:posOffset>
            </wp:positionH>
            <wp:positionV relativeFrom="paragraph">
              <wp:posOffset>-555625</wp:posOffset>
            </wp:positionV>
            <wp:extent cx="2202180" cy="548640"/>
            <wp:effectExtent l="0" t="0" r="7620" b="3810"/>
            <wp:wrapNone/>
            <wp:docPr id="1073741827" name="image1.jpg" descr="WMA-eltrh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MA-eltrhd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F3D">
        <w:rPr>
          <w:noProof/>
        </w:rPr>
        <w:drawing>
          <wp:anchor distT="0" distB="0" distL="114300" distR="114300" simplePos="0" relativeHeight="251660288" behindDoc="0" locked="0" layoutInCell="1" allowOverlap="1" wp14:anchorId="28F9A155" wp14:editId="7667D6E2">
            <wp:simplePos x="0" y="0"/>
            <wp:positionH relativeFrom="margin">
              <wp:posOffset>4587240</wp:posOffset>
            </wp:positionH>
            <wp:positionV relativeFrom="paragraph">
              <wp:posOffset>-449580</wp:posOffset>
            </wp:positionV>
            <wp:extent cx="1348740" cy="30682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30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F1EB0" w14:textId="7990E81C" w:rsidR="00B76F3D" w:rsidRDefault="00B76F3D" w:rsidP="00B76F3D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MEDIA CONTACT: </w:t>
      </w:r>
      <w:r>
        <w:rPr>
          <w:rFonts w:ascii="Arial" w:eastAsia="Arial" w:hAnsi="Arial" w:cs="Arial"/>
          <w:sz w:val="20"/>
          <w:szCs w:val="20"/>
        </w:rPr>
        <w:tab/>
        <w:t>Rachel Smedley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Derek Howard</w:t>
      </w:r>
      <w:r>
        <w:rPr>
          <w:rFonts w:ascii="Arial" w:eastAsia="Arial" w:hAnsi="Arial" w:cs="Arial"/>
          <w:sz w:val="20"/>
          <w:szCs w:val="20"/>
        </w:rPr>
        <w:tab/>
      </w:r>
    </w:p>
    <w:p w14:paraId="4E394218" w14:textId="002E50BB" w:rsidR="00B76F3D" w:rsidRDefault="00B76F3D" w:rsidP="00B76F3D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For Prelim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Prelim</w:t>
      </w:r>
    </w:p>
    <w:p w14:paraId="05A96BD0" w14:textId="24DCC88C" w:rsidR="00B76F3D" w:rsidRDefault="00B76F3D" w:rsidP="00B76F3D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678-781-7236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678-781-7215</w:t>
      </w:r>
    </w:p>
    <w:p w14:paraId="236B0AA6" w14:textId="247295C9" w:rsidR="00B76F3D" w:rsidRDefault="00B76F3D" w:rsidP="00B76F3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hyperlink r:id="rId9" w:history="1">
        <w:r w:rsidRPr="00611951">
          <w:rPr>
            <w:rStyle w:val="Hyperlink"/>
            <w:rFonts w:ascii="Arial" w:eastAsia="Arial" w:hAnsi="Arial" w:cs="Arial"/>
            <w:sz w:val="20"/>
            <w:szCs w:val="20"/>
          </w:rPr>
          <w:t>Rachel@williammills.com</w:t>
        </w:r>
      </w:hyperlink>
      <w:r w:rsidRPr="00B76F3D">
        <w:rPr>
          <w:rFonts w:ascii="Arial" w:eastAsia="Arial" w:hAnsi="Arial" w:cs="Arial"/>
          <w:color w:val="0000FF"/>
          <w:sz w:val="20"/>
          <w:szCs w:val="20"/>
        </w:rPr>
        <w:tab/>
      </w:r>
      <w:hyperlink r:id="rId10" w:history="1">
        <w:r w:rsidRPr="00611951">
          <w:rPr>
            <w:rStyle w:val="Hyperlink"/>
            <w:rFonts w:ascii="Arial" w:eastAsia="Arial" w:hAnsi="Arial" w:cs="Arial"/>
            <w:sz w:val="20"/>
            <w:szCs w:val="20"/>
          </w:rPr>
          <w:t>Derek@williammills.com</w:t>
        </w:r>
      </w:hyperlink>
    </w:p>
    <w:p w14:paraId="3C002B72" w14:textId="77777777" w:rsidR="00B76F3D" w:rsidRPr="00B76F3D" w:rsidRDefault="00B76F3D" w:rsidP="00B76F3D">
      <w:pPr>
        <w:rPr>
          <w:rStyle w:val="normaltextrun"/>
          <w:rFonts w:ascii="Arial" w:eastAsia="Arial" w:hAnsi="Arial" w:cs="Arial"/>
          <w:b/>
          <w:sz w:val="24"/>
          <w:szCs w:val="24"/>
        </w:rPr>
      </w:pPr>
    </w:p>
    <w:p w14:paraId="076575FE" w14:textId="77777777" w:rsidR="00686BA2" w:rsidRDefault="001156B7" w:rsidP="0033572B">
      <w:pPr>
        <w:spacing w:after="0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Prelim </w:t>
      </w:r>
      <w:r w:rsidR="0070468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Supports </w:t>
      </w:r>
      <w:r w:rsidR="0032057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Treasury Origination and Management Services </w:t>
      </w:r>
    </w:p>
    <w:p w14:paraId="4A918F37" w14:textId="256AA5C0" w:rsidR="001156B7" w:rsidRPr="001156B7" w:rsidRDefault="0032057F" w:rsidP="0033572B">
      <w:pPr>
        <w:spacing w:after="0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Through its No-Code/Low-Code Platform </w:t>
      </w:r>
    </w:p>
    <w:p w14:paraId="4832BF6B" w14:textId="77777777" w:rsidR="001156B7" w:rsidRDefault="001156B7" w:rsidP="0033572B">
      <w:pPr>
        <w:spacing w:after="0"/>
        <w:rPr>
          <w:rStyle w:val="normaltextrun"/>
          <w:rFonts w:ascii="Georgia" w:hAnsi="Georgia"/>
          <w:color w:val="000000"/>
          <w:shd w:val="clear" w:color="auto" w:fill="FFFFFF"/>
        </w:rPr>
      </w:pPr>
    </w:p>
    <w:p w14:paraId="712C2460" w14:textId="2CA0057C" w:rsidR="001A6985" w:rsidRDefault="001156B7" w:rsidP="001A6985">
      <w:pPr>
        <w:spacing w:line="360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SAN FRANCISCO, </w:t>
      </w:r>
      <w:r w:rsidR="0033572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June</w:t>
      </w:r>
      <w:r w:rsidR="00B9665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5FD0E74A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15</w:t>
      </w:r>
      <w:r w:rsidR="00B9665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,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2021 </w:t>
      </w:r>
      <w:r w:rsidR="00AD0B5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–</w:t>
      </w:r>
      <w:r w:rsidR="00874DC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874DC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With business owners </w:t>
      </w:r>
      <w:r w:rsidR="00EF50EC">
        <w:rPr>
          <w:rStyle w:val="normaltextrun"/>
          <w:rFonts w:ascii="Arial" w:hAnsi="Arial" w:cs="Arial"/>
          <w:color w:val="000000"/>
          <w:shd w:val="clear" w:color="auto" w:fill="FFFFFF"/>
        </w:rPr>
        <w:t>seeking</w:t>
      </w:r>
      <w:r w:rsidR="00874DC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better banking experience</w:t>
      </w:r>
      <w:r w:rsidR="00EF50EC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="00874DC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</w:t>
      </w:r>
      <w:r w:rsidR="00B6579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74DC0">
        <w:rPr>
          <w:rStyle w:val="normaltextrun"/>
          <w:rFonts w:ascii="Arial" w:hAnsi="Arial" w:cs="Arial"/>
          <w:color w:val="000000"/>
          <w:shd w:val="clear" w:color="auto" w:fill="FFFFFF"/>
        </w:rPr>
        <w:t>resources to manage their financial assets and holdings,</w:t>
      </w:r>
      <w:r w:rsidR="006A7D3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hyperlink r:id="rId11" w:history="1">
        <w:r w:rsidR="00AD0B59" w:rsidRPr="0019575F">
          <w:rPr>
            <w:rStyle w:val="Hyperlink"/>
            <w:rFonts w:ascii="Arial" w:hAnsi="Arial" w:cs="Arial"/>
            <w:shd w:val="clear" w:color="auto" w:fill="FFFFFF"/>
          </w:rPr>
          <w:t>Prelim</w:t>
        </w:r>
      </w:hyperlink>
      <w:r w:rsidR="00AD0B59">
        <w:rPr>
          <w:rStyle w:val="normaltextrun"/>
          <w:rFonts w:ascii="Arial" w:hAnsi="Arial" w:cs="Arial"/>
          <w:color w:val="000000"/>
          <w:shd w:val="clear" w:color="auto" w:fill="FFFFFF"/>
        </w:rPr>
        <w:t>, a fintech provider that optimizes digital banking experiences</w:t>
      </w:r>
      <w:r w:rsidR="00C111C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for financial institutions</w:t>
      </w:r>
      <w:r w:rsidR="00AD0B5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="0092151D">
        <w:rPr>
          <w:rStyle w:val="normaltextrun"/>
          <w:rFonts w:ascii="Arial" w:hAnsi="Arial" w:cs="Arial"/>
          <w:color w:val="000000"/>
          <w:shd w:val="clear" w:color="auto" w:fill="FFFFFF"/>
        </w:rPr>
        <w:t>announced its easy-to-use</w:t>
      </w:r>
      <w:r w:rsidR="008E03F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no-code/low-code platform </w:t>
      </w:r>
      <w:r w:rsidR="00686BA2">
        <w:rPr>
          <w:rStyle w:val="normaltextrun"/>
          <w:rFonts w:ascii="Arial" w:hAnsi="Arial" w:cs="Arial"/>
          <w:color w:val="000000"/>
          <w:shd w:val="clear" w:color="auto" w:fill="FFFFFF"/>
        </w:rPr>
        <w:t>includes</w:t>
      </w:r>
      <w:r w:rsidR="0070468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enhanced capabilities to </w:t>
      </w:r>
      <w:r w:rsidR="008E03F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support </w:t>
      </w:r>
      <w:r w:rsidR="001A6985">
        <w:rPr>
          <w:rStyle w:val="normaltextrun"/>
          <w:rFonts w:ascii="Arial" w:hAnsi="Arial" w:cs="Arial"/>
          <w:color w:val="000000"/>
          <w:shd w:val="clear" w:color="auto" w:fill="FFFFFF"/>
        </w:rPr>
        <w:t>treasury</w:t>
      </w:r>
      <w:r w:rsidR="0032057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origination and</w:t>
      </w:r>
      <w:r w:rsidR="001A698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management </w:t>
      </w:r>
      <w:r w:rsidR="0070468F">
        <w:rPr>
          <w:rStyle w:val="normaltextrun"/>
          <w:rFonts w:ascii="Arial" w:hAnsi="Arial" w:cs="Arial"/>
          <w:color w:val="000000"/>
          <w:shd w:val="clear" w:color="auto" w:fill="FFFFFF"/>
        </w:rPr>
        <w:t>services</w:t>
      </w:r>
      <w:r w:rsidR="0032057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</w:p>
    <w:p w14:paraId="39EB1127" w14:textId="062D67B5" w:rsidR="0033572B" w:rsidRDefault="00874DC0" w:rsidP="0033572B">
      <w:pPr>
        <w:spacing w:line="360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In today’s digital-first </w:t>
      </w:r>
      <w:r w:rsidR="00C54464">
        <w:rPr>
          <w:rStyle w:val="normaltextrun"/>
          <w:rFonts w:ascii="Arial" w:hAnsi="Arial" w:cs="Arial"/>
          <w:color w:val="000000"/>
          <w:shd w:val="clear" w:color="auto" w:fill="FFFFFF"/>
        </w:rPr>
        <w:t>world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, banks and credit unions must integrate digital treasury management services into their online platform</w:t>
      </w:r>
      <w:r w:rsidR="00463F4A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E4626C">
        <w:rPr>
          <w:rStyle w:val="normaltextrun"/>
          <w:rFonts w:ascii="Arial" w:hAnsi="Arial" w:cs="Arial"/>
          <w:color w:val="000000"/>
          <w:shd w:val="clear" w:color="auto" w:fill="FFFFFF"/>
        </w:rPr>
        <w:t>offering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“</w:t>
      </w:r>
      <w:hyperlink r:id="rId12" w:history="1">
        <w:r w:rsidRPr="006A7D39">
          <w:rPr>
            <w:rStyle w:val="Hyperlink"/>
            <w:rFonts w:ascii="Arial" w:hAnsi="Arial" w:cs="Arial"/>
            <w:shd w:val="clear" w:color="auto" w:fill="FFFFFF"/>
          </w:rPr>
          <w:t>convenient access</w:t>
        </w:r>
      </w:hyperlink>
      <w:r w:rsidRPr="006A7D3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business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e</w:t>
      </w:r>
      <w:r w:rsidRPr="006A7D39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’</w:t>
      </w:r>
      <w:r w:rsidRPr="006A7D3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online banking, wire transfers, remote deposit capture, bill pay, ACH payments and collections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,” according to </w:t>
      </w:r>
      <w:r w:rsidRPr="006A7D39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Business News Today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9A0A41">
        <w:rPr>
          <w:rStyle w:val="normaltextrun"/>
          <w:rFonts w:ascii="Arial" w:hAnsi="Arial" w:cs="Arial"/>
          <w:color w:val="000000"/>
          <w:shd w:val="clear" w:color="auto" w:fill="FFFFFF"/>
        </w:rPr>
        <w:t>To meet these important needs</w:t>
      </w:r>
      <w:r w:rsidR="006A7D3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="00E4626C">
        <w:rPr>
          <w:rStyle w:val="normaltextrun"/>
          <w:rFonts w:ascii="Arial" w:hAnsi="Arial" w:cs="Arial"/>
          <w:color w:val="000000"/>
          <w:shd w:val="clear" w:color="auto" w:fill="FFFFFF"/>
        </w:rPr>
        <w:t>Prelim</w:t>
      </w:r>
      <w:r w:rsidR="001B3C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has</w:t>
      </w:r>
      <w:r w:rsidR="00E4626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33572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designed its </w:t>
      </w:r>
      <w:r w:rsidR="00001A4A">
        <w:rPr>
          <w:rStyle w:val="normaltextrun"/>
          <w:rFonts w:ascii="Arial" w:hAnsi="Arial" w:cs="Arial"/>
          <w:color w:val="000000"/>
          <w:shd w:val="clear" w:color="auto" w:fill="FFFFFF"/>
        </w:rPr>
        <w:t>platform’s</w:t>
      </w:r>
      <w:r w:rsidR="0033572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treasury origination and maintenance capabilities to automate the entire treasury management process, from origination to maintenance – delivering a </w:t>
      </w:r>
      <w:r w:rsidR="00001A4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fast, </w:t>
      </w:r>
      <w:r w:rsidR="0033572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user-friendly experience for financial institutions and their business customers.  </w:t>
      </w:r>
    </w:p>
    <w:p w14:paraId="782E9906" w14:textId="60693CE9" w:rsidR="00E4626C" w:rsidRDefault="0033572B" w:rsidP="0033572B">
      <w:pPr>
        <w:spacing w:line="360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In addition, </w:t>
      </w:r>
      <w:r w:rsidR="00F77A36">
        <w:rPr>
          <w:rStyle w:val="normaltextrun"/>
          <w:rFonts w:ascii="Arial" w:hAnsi="Arial" w:cs="Arial"/>
          <w:color w:val="000000"/>
          <w:shd w:val="clear" w:color="auto" w:fill="FFFFFF"/>
        </w:rPr>
        <w:t>these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feature</w:t>
      </w:r>
      <w:r w:rsidR="00F77A36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>not only encompass signing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>documents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but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also 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>include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the capability to easily collect and store c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ustomer-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>sensitive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>bank data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all while 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>integrat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ing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with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most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legacy technology stack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seamlessly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import and export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1A6985">
        <w:rPr>
          <w:rStyle w:val="normaltextrun"/>
          <w:rFonts w:ascii="Arial" w:hAnsi="Arial" w:cs="Arial"/>
          <w:color w:val="000000"/>
          <w:shd w:val="clear" w:color="auto" w:fill="FFFFFF"/>
        </w:rPr>
        <w:t>data.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</w:p>
    <w:p w14:paraId="64CBB199" w14:textId="3E27C4B0" w:rsidR="00470853" w:rsidRPr="00470853" w:rsidRDefault="00470853" w:rsidP="0033572B">
      <w:pPr>
        <w:spacing w:after="0" w:line="36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“</w:t>
      </w:r>
      <w:r w:rsidR="00E4626C">
        <w:rPr>
          <w:rStyle w:val="normaltextrun"/>
          <w:rFonts w:ascii="Arial" w:hAnsi="Arial" w:cs="Arial"/>
          <w:color w:val="000000"/>
          <w:shd w:val="clear" w:color="auto" w:fill="FFFFFF"/>
        </w:rPr>
        <w:t>Financial institutions have an opportunity to provide their business customers with access to the services they need most</w:t>
      </w:r>
      <w:r w:rsidR="00AD08C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="00E4626C">
        <w:rPr>
          <w:rStyle w:val="normaltextrun"/>
          <w:rFonts w:ascii="Arial" w:hAnsi="Arial" w:cs="Arial"/>
          <w:color w:val="000000"/>
          <w:shd w:val="clear" w:color="auto" w:fill="FFFFFF"/>
        </w:rPr>
        <w:t>like treasury management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,” said Heang Chan, CEO, Prelim. “</w:t>
      </w:r>
      <w:r w:rsidR="00E4626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That’s why we are </w:t>
      </w:r>
      <w:r w:rsidR="00AD08CA">
        <w:rPr>
          <w:rStyle w:val="normaltextrun"/>
          <w:rFonts w:ascii="Arial" w:hAnsi="Arial" w:cs="Arial"/>
          <w:color w:val="000000"/>
          <w:shd w:val="clear" w:color="auto" w:fill="FFFFFF"/>
        </w:rPr>
        <w:t>pleased to offer</w:t>
      </w:r>
      <w:r w:rsidR="00E4626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the</w:t>
      </w:r>
      <w:r w:rsidR="00392283">
        <w:rPr>
          <w:rStyle w:val="normaltextrun"/>
          <w:rFonts w:ascii="Arial" w:hAnsi="Arial" w:cs="Arial"/>
          <w:color w:val="000000"/>
          <w:shd w:val="clear" w:color="auto" w:fill="FFFFFF"/>
        </w:rPr>
        <w:t>se</w:t>
      </w:r>
      <w:r w:rsidR="00E4626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treasury origination and management feature</w:t>
      </w:r>
      <w:r w:rsidR="00392283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="00E4626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392283">
        <w:rPr>
          <w:rStyle w:val="normaltextrun"/>
          <w:rFonts w:ascii="Arial" w:hAnsi="Arial" w:cs="Arial"/>
          <w:color w:val="000000"/>
          <w:shd w:val="clear" w:color="auto" w:fill="FFFFFF"/>
        </w:rPr>
        <w:t>through</w:t>
      </w:r>
      <w:r w:rsidR="00E4626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our platform</w:t>
      </w:r>
      <w:r w:rsidR="0042383A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E4626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Already in use at</w:t>
      </w:r>
      <w:r w:rsidR="00C544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some for the largest</w:t>
      </w:r>
      <w:r w:rsidR="00E4626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banks across the nation,</w:t>
      </w:r>
      <w:r w:rsidR="0033572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F2990">
        <w:rPr>
          <w:rStyle w:val="normaltextrun"/>
          <w:rFonts w:ascii="Arial" w:hAnsi="Arial" w:cs="Arial"/>
          <w:color w:val="000000"/>
          <w:shd w:val="clear" w:color="auto" w:fill="FFFFFF"/>
        </w:rPr>
        <w:t>these</w:t>
      </w:r>
      <w:r w:rsidR="0033572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capabilities </w:t>
      </w:r>
      <w:r w:rsidR="00FA6ECF">
        <w:rPr>
          <w:rStyle w:val="normaltextrun"/>
          <w:rFonts w:ascii="Arial" w:hAnsi="Arial" w:cs="Arial"/>
          <w:color w:val="000000"/>
          <w:shd w:val="clear" w:color="auto" w:fill="FFFFFF"/>
        </w:rPr>
        <w:t>of</w:t>
      </w:r>
      <w:r w:rsidR="00D44AE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33572B">
        <w:rPr>
          <w:rStyle w:val="normaltextrun"/>
          <w:rFonts w:ascii="Arial" w:hAnsi="Arial" w:cs="Arial"/>
          <w:color w:val="000000"/>
          <w:shd w:val="clear" w:color="auto" w:fill="FFFFFF"/>
        </w:rPr>
        <w:t>our embedded fintech platform help position financial institutions as the</w:t>
      </w:r>
      <w:r w:rsidR="00C544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preferred banking </w:t>
      </w:r>
      <w:r w:rsidR="002B4C2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partner </w:t>
      </w:r>
      <w:r w:rsidR="0033572B">
        <w:rPr>
          <w:rStyle w:val="normaltextrun"/>
          <w:rFonts w:ascii="Arial" w:hAnsi="Arial" w:cs="Arial"/>
          <w:color w:val="000000"/>
          <w:shd w:val="clear" w:color="auto" w:fill="FFFFFF"/>
        </w:rPr>
        <w:t>with the solutions to all their business customers’ banking needs.”</w:t>
      </w:r>
    </w:p>
    <w:p w14:paraId="14200366" w14:textId="77777777" w:rsidR="0019575F" w:rsidRDefault="0019575F" w:rsidP="0019575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443B0E67" w14:textId="7DCF4892" w:rsidR="001156B7" w:rsidRPr="0019575F" w:rsidRDefault="001156B7" w:rsidP="0019575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19575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About Prelim</w:t>
      </w:r>
      <w:r w:rsidRPr="0019575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29CD308" w14:textId="66003413" w:rsidR="001156B7" w:rsidRPr="0019575F" w:rsidRDefault="001156B7" w:rsidP="0019575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19575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Prelim</w:t>
      </w:r>
      <w:r w:rsidRPr="0019575F">
        <w:rPr>
          <w:rStyle w:val="normaltextrun"/>
          <w:rFonts w:ascii="Arial" w:hAnsi="Arial" w:cs="Arial"/>
          <w:sz w:val="22"/>
          <w:szCs w:val="22"/>
        </w:rPr>
        <w:t xml:space="preserve"> helps financial institutions digitize the customer journey from onboarding to servicing while also </w:t>
      </w:r>
      <w:r w:rsidR="000F5D17">
        <w:rPr>
          <w:rStyle w:val="normaltextrun"/>
          <w:rFonts w:ascii="Arial" w:hAnsi="Arial" w:cs="Arial"/>
          <w:sz w:val="22"/>
          <w:szCs w:val="22"/>
        </w:rPr>
        <w:t xml:space="preserve">improving </w:t>
      </w:r>
      <w:r w:rsidRPr="0019575F">
        <w:rPr>
          <w:rStyle w:val="normaltextrun"/>
          <w:rFonts w:ascii="Arial" w:hAnsi="Arial" w:cs="Arial"/>
          <w:sz w:val="22"/>
          <w:szCs w:val="22"/>
        </w:rPr>
        <w:t xml:space="preserve">the employee journey by streamlining and automating internal </w:t>
      </w:r>
      <w:r w:rsidRPr="0019575F">
        <w:rPr>
          <w:rStyle w:val="normaltextrun"/>
          <w:rFonts w:ascii="Arial" w:hAnsi="Arial" w:cs="Arial"/>
          <w:sz w:val="22"/>
          <w:szCs w:val="22"/>
        </w:rPr>
        <w:lastRenderedPageBreak/>
        <w:t>operations from reviewing to processing to underwriting to servicing. Built by banking experts, Prelim's no-code, white-labeled platform delivers a better customer experience by automating the workflows and processes for financial institutions, from identity verification to issuing services from the core and so much more. For more information, visit </w:t>
      </w:r>
      <w:hyperlink r:id="rId13" w:tgtFrame="_blank" w:history="1">
        <w:r w:rsidRPr="0019575F">
          <w:rPr>
            <w:rStyle w:val="normaltextrun"/>
            <w:rFonts w:ascii="Arial" w:hAnsi="Arial" w:cs="Arial"/>
            <w:color w:val="0000FF"/>
            <w:sz w:val="22"/>
            <w:szCs w:val="22"/>
          </w:rPr>
          <w:t>Prelim.com</w:t>
        </w:r>
      </w:hyperlink>
      <w:r w:rsidRPr="0019575F">
        <w:rPr>
          <w:rStyle w:val="normaltextrun"/>
          <w:rFonts w:ascii="Arial" w:hAnsi="Arial" w:cs="Arial"/>
          <w:sz w:val="22"/>
          <w:szCs w:val="22"/>
        </w:rPr>
        <w:t>.</w:t>
      </w:r>
      <w:r w:rsidRPr="0019575F">
        <w:rPr>
          <w:rStyle w:val="eop"/>
          <w:rFonts w:ascii="Arial" w:hAnsi="Arial" w:cs="Arial"/>
          <w:sz w:val="22"/>
          <w:szCs w:val="22"/>
        </w:rPr>
        <w:t> </w:t>
      </w:r>
    </w:p>
    <w:p w14:paraId="64E4A48B" w14:textId="77777777" w:rsidR="001156B7" w:rsidRDefault="001156B7"/>
    <w:sectPr w:rsidR="00115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B7"/>
    <w:rsid w:val="00001A4A"/>
    <w:rsid w:val="000F5D17"/>
    <w:rsid w:val="00102BF1"/>
    <w:rsid w:val="001156B7"/>
    <w:rsid w:val="00192494"/>
    <w:rsid w:val="0019575F"/>
    <w:rsid w:val="001A6985"/>
    <w:rsid w:val="001B26F1"/>
    <w:rsid w:val="001B3C18"/>
    <w:rsid w:val="001E10F7"/>
    <w:rsid w:val="00207E7E"/>
    <w:rsid w:val="002B4C27"/>
    <w:rsid w:val="002B6897"/>
    <w:rsid w:val="002F4C13"/>
    <w:rsid w:val="0032057F"/>
    <w:rsid w:val="0033572B"/>
    <w:rsid w:val="00380F39"/>
    <w:rsid w:val="00390D2B"/>
    <w:rsid w:val="00392283"/>
    <w:rsid w:val="0042383A"/>
    <w:rsid w:val="00463F4A"/>
    <w:rsid w:val="00470853"/>
    <w:rsid w:val="00485BD9"/>
    <w:rsid w:val="004F2990"/>
    <w:rsid w:val="005A6F31"/>
    <w:rsid w:val="00613278"/>
    <w:rsid w:val="0062606C"/>
    <w:rsid w:val="00686BA2"/>
    <w:rsid w:val="006A7D39"/>
    <w:rsid w:val="0070468F"/>
    <w:rsid w:val="0081685C"/>
    <w:rsid w:val="00855952"/>
    <w:rsid w:val="00874DC0"/>
    <w:rsid w:val="008E03FA"/>
    <w:rsid w:val="0092151D"/>
    <w:rsid w:val="009A0A41"/>
    <w:rsid w:val="00AA7685"/>
    <w:rsid w:val="00AD08CA"/>
    <w:rsid w:val="00AD0B59"/>
    <w:rsid w:val="00AF1A3D"/>
    <w:rsid w:val="00B51079"/>
    <w:rsid w:val="00B65798"/>
    <w:rsid w:val="00B74D44"/>
    <w:rsid w:val="00B74F0F"/>
    <w:rsid w:val="00B76F3D"/>
    <w:rsid w:val="00B96657"/>
    <w:rsid w:val="00C0463F"/>
    <w:rsid w:val="00C111CC"/>
    <w:rsid w:val="00C54464"/>
    <w:rsid w:val="00C96BB5"/>
    <w:rsid w:val="00D44AEE"/>
    <w:rsid w:val="00DB337A"/>
    <w:rsid w:val="00E44152"/>
    <w:rsid w:val="00E4626C"/>
    <w:rsid w:val="00E542A5"/>
    <w:rsid w:val="00EF50EC"/>
    <w:rsid w:val="00F40CAC"/>
    <w:rsid w:val="00F77A36"/>
    <w:rsid w:val="00FA6ECF"/>
    <w:rsid w:val="2075E279"/>
    <w:rsid w:val="450CFFD7"/>
    <w:rsid w:val="4B9EDD79"/>
    <w:rsid w:val="58F3ABCE"/>
    <w:rsid w:val="59985308"/>
    <w:rsid w:val="5C6A980A"/>
    <w:rsid w:val="5D5D21ED"/>
    <w:rsid w:val="5FD0E74A"/>
    <w:rsid w:val="75B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22EE"/>
  <w15:chartTrackingRefBased/>
  <w15:docId w15:val="{B836BDDF-D9B7-4520-8232-7C7C54F2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156B7"/>
  </w:style>
  <w:style w:type="character" w:customStyle="1" w:styleId="eop">
    <w:name w:val="eop"/>
    <w:basedOn w:val="DefaultParagraphFont"/>
    <w:rsid w:val="001156B7"/>
  </w:style>
  <w:style w:type="paragraph" w:customStyle="1" w:styleId="paragraph">
    <w:name w:val="paragraph"/>
    <w:basedOn w:val="Normal"/>
    <w:rsid w:val="0011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57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7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4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15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7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relim.com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www.businessnewsdaily.com/6355-business-bank-extra-service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lim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erek@williammill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achel@williammill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87FBCB0FE9743934C6250836C5F2E" ma:contentTypeVersion="12" ma:contentTypeDescription="Create a new document." ma:contentTypeScope="" ma:versionID="99cb082388fbffedb223a7898dc9395b">
  <xsd:schema xmlns:xsd="http://www.w3.org/2001/XMLSchema" xmlns:xs="http://www.w3.org/2001/XMLSchema" xmlns:p="http://schemas.microsoft.com/office/2006/metadata/properties" xmlns:ns2="18afe261-dda2-4c8d-b35c-8a7b9c8eda55" xmlns:ns3="63a51644-1349-45f7-b125-14e3146891c8" targetNamespace="http://schemas.microsoft.com/office/2006/metadata/properties" ma:root="true" ma:fieldsID="282ad640516b7a97efcf53345c74fc04" ns2:_="" ns3:_="">
    <xsd:import namespace="18afe261-dda2-4c8d-b35c-8a7b9c8eda55"/>
    <xsd:import namespace="63a51644-1349-45f7-b125-14e314689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e261-dda2-4c8d-b35c-8a7b9c8ed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1644-1349-45f7-b125-14e314689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E4A01-EAC2-4640-BFCE-C09E1B0C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e261-dda2-4c8d-b35c-8a7b9c8eda55"/>
    <ds:schemaRef ds:uri="63a51644-1349-45f7-b125-14e314689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66117-CB5A-4152-9B69-68436BB1C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069F9-D8BD-4EA4-A5BE-2B60DCD331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Logan</dc:creator>
  <cp:keywords/>
  <dc:description/>
  <cp:lastModifiedBy>Rachel Smedley</cp:lastModifiedBy>
  <cp:revision>2</cp:revision>
  <dcterms:created xsi:type="dcterms:W3CDTF">2021-06-14T14:33:00Z</dcterms:created>
  <dcterms:modified xsi:type="dcterms:W3CDTF">2021-06-14T14:33:00Z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0x01010004D87FBCB0FE9743934C6250836C5F2E</vt:lpwstr>
  </property>
</Properties>
</file>