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F410" w14:textId="77777777" w:rsidR="00E66099" w:rsidRDefault="00E66099" w:rsidP="00830479">
      <w:pPr>
        <w:spacing w:after="0" w:line="240" w:lineRule="auto"/>
        <w:ind w:left="4320" w:hanging="4320"/>
        <w:rPr>
          <w:rFonts w:ascii="Arial" w:eastAsia="Times New Roman" w:hAnsi="Arial" w:cs="Arial"/>
          <w:b/>
          <w:bCs/>
          <w:lang w:val="es-ES" w:eastAsia="ja-JP"/>
        </w:rPr>
      </w:pPr>
      <w:bookmarkStart w:id="0" w:name="_Hlk73605650"/>
    </w:p>
    <w:p w14:paraId="04EA1D3F" w14:textId="27ED012D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/>
          <w:bCs/>
          <w:lang w:val="es-ES" w:eastAsia="ja-JP"/>
        </w:rPr>
      </w:pPr>
      <w:r w:rsidRPr="009F3B23">
        <w:rPr>
          <w:rFonts w:ascii="Arial" w:eastAsia="Times New Roman" w:hAnsi="Arial" w:cs="Arial"/>
          <w:b/>
          <w:bCs/>
          <w:lang w:val="es-ES" w:eastAsia="ja-JP"/>
        </w:rPr>
        <w:t xml:space="preserve">Media </w:t>
      </w:r>
      <w:proofErr w:type="spellStart"/>
      <w:r w:rsidRPr="009F3B23">
        <w:rPr>
          <w:rFonts w:ascii="Arial" w:eastAsia="Times New Roman" w:hAnsi="Arial" w:cs="Arial"/>
          <w:b/>
          <w:bCs/>
          <w:lang w:val="es-ES" w:eastAsia="ja-JP"/>
        </w:rPr>
        <w:t>Contacts</w:t>
      </w:r>
      <w:proofErr w:type="spellEnd"/>
    </w:p>
    <w:p w14:paraId="2470BE39" w14:textId="77777777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 xml:space="preserve">Cristi Murray </w:t>
      </w:r>
    </w:p>
    <w:p w14:paraId="143E5D5D" w14:textId="77777777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678.781.7209 (o)</w:t>
      </w:r>
    </w:p>
    <w:p w14:paraId="3790654B" w14:textId="77777777" w:rsidR="00830479" w:rsidRPr="009F3B23" w:rsidRDefault="00830479" w:rsidP="00830479">
      <w:pPr>
        <w:spacing w:after="0" w:line="240" w:lineRule="auto"/>
        <w:ind w:right="-90"/>
        <w:rPr>
          <w:rFonts w:ascii="Arial" w:eastAsia="Times New Roman" w:hAnsi="Arial" w:cs="Arial"/>
          <w:bCs/>
          <w:lang w:eastAsia="ja-JP"/>
        </w:rPr>
      </w:pPr>
      <w:r w:rsidRPr="009F3B23">
        <w:rPr>
          <w:rFonts w:ascii="Arial" w:eastAsia="Times New Roman" w:hAnsi="Arial" w:cs="Arial"/>
          <w:lang w:eastAsia="ja-JP"/>
        </w:rPr>
        <w:t xml:space="preserve">650.339.2132 </w:t>
      </w:r>
      <w:r w:rsidRPr="009F3B23">
        <w:rPr>
          <w:rFonts w:ascii="Arial" w:eastAsia="Times New Roman" w:hAnsi="Arial" w:cs="Arial"/>
          <w:bCs/>
          <w:lang w:eastAsia="ja-JP"/>
        </w:rPr>
        <w:t>(m)</w:t>
      </w:r>
    </w:p>
    <w:p w14:paraId="398AC40A" w14:textId="77777777" w:rsidR="00830479" w:rsidRPr="009F3B23" w:rsidRDefault="00BC13C4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  <w:hyperlink r:id="rId8" w:history="1">
        <w:r w:rsidR="00830479" w:rsidRPr="009F3B23">
          <w:rPr>
            <w:rFonts w:ascii="Arial" w:eastAsia="Times New Roman" w:hAnsi="Arial" w:cs="Arial"/>
            <w:u w:val="single"/>
            <w:lang w:eastAsia="ja-JP"/>
          </w:rPr>
          <w:t>cristi@williammills.com</w:t>
        </w:r>
      </w:hyperlink>
      <w:r w:rsidR="00830479" w:rsidRPr="009F3B23">
        <w:rPr>
          <w:rFonts w:ascii="Arial" w:eastAsia="Times New Roman" w:hAnsi="Arial" w:cs="Arial"/>
          <w:lang w:eastAsia="ja-JP"/>
        </w:rPr>
        <w:t xml:space="preserve"> </w:t>
      </w:r>
      <w:r w:rsidR="00830479" w:rsidRPr="009F3B23">
        <w:rPr>
          <w:rFonts w:ascii="Arial" w:eastAsia="Times New Roman" w:hAnsi="Arial" w:cs="Arial"/>
          <w:bCs/>
          <w:lang w:eastAsia="ja-JP"/>
        </w:rPr>
        <w:tab/>
      </w:r>
    </w:p>
    <w:p w14:paraId="1B8F8CA6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</w:p>
    <w:p w14:paraId="6D138E0D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  <w:r w:rsidRPr="009F3B23">
        <w:rPr>
          <w:rFonts w:ascii="Arial" w:eastAsia="Times New Roman" w:hAnsi="Arial" w:cs="Arial"/>
          <w:bCs/>
          <w:lang w:eastAsia="ja-JP"/>
        </w:rPr>
        <w:t>Maggie Wise</w:t>
      </w:r>
    </w:p>
    <w:p w14:paraId="223D6915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678.781.7229 (o)</w:t>
      </w:r>
    </w:p>
    <w:p w14:paraId="28F514E2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404.408.8608 (m)</w:t>
      </w:r>
    </w:p>
    <w:p w14:paraId="5D2EFC2A" w14:textId="77777777" w:rsidR="00830479" w:rsidRPr="009F3B23" w:rsidRDefault="00BC13C4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hyperlink r:id="rId9" w:history="1">
        <w:r w:rsidR="00830479" w:rsidRPr="009F3B23">
          <w:rPr>
            <w:rFonts w:ascii="Arial" w:eastAsia="Times New Roman" w:hAnsi="Arial" w:cs="Arial"/>
            <w:bCs/>
            <w:u w:val="single"/>
            <w:lang w:val="es-ES" w:eastAsia="ja-JP"/>
          </w:rPr>
          <w:t>maggie@williammills.com</w:t>
        </w:r>
      </w:hyperlink>
      <w:r w:rsidR="00830479" w:rsidRPr="009F3B23">
        <w:rPr>
          <w:rFonts w:ascii="Arial" w:eastAsia="Times New Roman" w:hAnsi="Arial" w:cs="Arial"/>
          <w:bCs/>
          <w:lang w:val="es-ES" w:eastAsia="ja-JP"/>
        </w:rPr>
        <w:t xml:space="preserve"> </w:t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</w:p>
    <w:p w14:paraId="6E8CBDD5" w14:textId="77777777" w:rsidR="00830479" w:rsidRPr="009F3B23" w:rsidRDefault="00830479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val="es-ES" w:eastAsia="ja-JP"/>
        </w:rPr>
      </w:pPr>
    </w:p>
    <w:p w14:paraId="285B87C5" w14:textId="06B650F0" w:rsidR="00830479" w:rsidRPr="009F3B23" w:rsidRDefault="00830479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ja-JP"/>
        </w:rPr>
      </w:pPr>
      <w:r w:rsidRPr="009F3B23">
        <w:rPr>
          <w:rFonts w:ascii="Arial" w:eastAsia="Times New Roman" w:hAnsi="Arial" w:cs="Arial"/>
          <w:b/>
          <w:bCs/>
          <w:lang w:eastAsia="ja-JP"/>
        </w:rPr>
        <w:t xml:space="preserve">Financial Institutions </w:t>
      </w:r>
      <w:r w:rsidR="00281CFC">
        <w:rPr>
          <w:rFonts w:ascii="Arial" w:eastAsia="Times New Roman" w:hAnsi="Arial" w:cs="Arial"/>
          <w:b/>
          <w:bCs/>
          <w:lang w:eastAsia="ja-JP"/>
        </w:rPr>
        <w:t xml:space="preserve">Prepare for the Aftermath of the Pandemic </w:t>
      </w:r>
    </w:p>
    <w:p w14:paraId="5A745FEA" w14:textId="6EE2A9BC" w:rsidR="00830479" w:rsidRPr="009F3B23" w:rsidRDefault="00281CFC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lang w:eastAsia="ja-JP"/>
        </w:rPr>
      </w:pPr>
      <w:r>
        <w:rPr>
          <w:rFonts w:ascii="Arial" w:eastAsia="Times New Roman" w:hAnsi="Arial" w:cs="Arial"/>
          <w:i/>
          <w:iCs/>
          <w:lang w:eastAsia="ja-JP"/>
        </w:rPr>
        <w:t xml:space="preserve">Institutions to reevaluate, rebuild operational models for remainder of </w:t>
      </w:r>
      <w:r w:rsidR="000538FB">
        <w:rPr>
          <w:rFonts w:ascii="Arial" w:eastAsia="Times New Roman" w:hAnsi="Arial" w:cs="Arial"/>
          <w:i/>
          <w:iCs/>
          <w:lang w:eastAsia="ja-JP"/>
        </w:rPr>
        <w:t>2021</w:t>
      </w:r>
      <w:r>
        <w:rPr>
          <w:rFonts w:ascii="Arial" w:eastAsia="Times New Roman" w:hAnsi="Arial" w:cs="Arial"/>
          <w:i/>
          <w:iCs/>
          <w:lang w:eastAsia="ja-JP"/>
        </w:rPr>
        <w:t xml:space="preserve"> and </w:t>
      </w:r>
      <w:r w:rsidR="000538FB">
        <w:rPr>
          <w:rFonts w:ascii="Arial" w:eastAsia="Times New Roman" w:hAnsi="Arial" w:cs="Arial"/>
          <w:i/>
          <w:iCs/>
          <w:lang w:eastAsia="ja-JP"/>
        </w:rPr>
        <w:t xml:space="preserve">into </w:t>
      </w:r>
      <w:r>
        <w:rPr>
          <w:rFonts w:ascii="Arial" w:eastAsia="Times New Roman" w:hAnsi="Arial" w:cs="Arial"/>
          <w:i/>
          <w:iCs/>
          <w:lang w:eastAsia="ja-JP"/>
        </w:rPr>
        <w:t>2022</w:t>
      </w:r>
    </w:p>
    <w:p w14:paraId="3D907B8F" w14:textId="77777777" w:rsidR="00830479" w:rsidRPr="009F3B23" w:rsidRDefault="00830479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ja-JP"/>
        </w:rPr>
      </w:pPr>
    </w:p>
    <w:p w14:paraId="2DA1DF31" w14:textId="7777935B" w:rsidR="00830479" w:rsidRPr="009F3B23" w:rsidRDefault="00830479" w:rsidP="009F3B23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  <w:r w:rsidRPr="009F3B23">
        <w:rPr>
          <w:rFonts w:ascii="Arial" w:eastAsia="Times New Roman" w:hAnsi="Arial" w:cs="Arial"/>
          <w:b/>
          <w:lang w:eastAsia="ja-JP"/>
        </w:rPr>
        <w:t xml:space="preserve">MEMPHIS, Tenn., </w:t>
      </w:r>
      <w:r w:rsidR="000775E8" w:rsidRPr="009F3B23">
        <w:rPr>
          <w:rFonts w:ascii="Arial" w:eastAsia="Times New Roman" w:hAnsi="Arial" w:cs="Arial"/>
          <w:b/>
          <w:lang w:eastAsia="ja-JP"/>
        </w:rPr>
        <w:t>Ju</w:t>
      </w:r>
      <w:r w:rsidR="00B554BE">
        <w:rPr>
          <w:rFonts w:ascii="Arial" w:eastAsia="Times New Roman" w:hAnsi="Arial" w:cs="Arial"/>
          <w:b/>
          <w:lang w:eastAsia="ja-JP"/>
        </w:rPr>
        <w:t>ly</w:t>
      </w:r>
      <w:r w:rsidRPr="009F3B23">
        <w:rPr>
          <w:rFonts w:ascii="Arial" w:eastAsia="Times New Roman" w:hAnsi="Arial" w:cs="Arial"/>
          <w:b/>
          <w:lang w:eastAsia="ja-JP"/>
        </w:rPr>
        <w:t xml:space="preserve"> </w:t>
      </w:r>
      <w:r w:rsidR="00680B36">
        <w:rPr>
          <w:rFonts w:ascii="Arial" w:eastAsia="Times New Roman" w:hAnsi="Arial" w:cs="Arial"/>
          <w:b/>
          <w:lang w:eastAsia="ja-JP"/>
        </w:rPr>
        <w:t>12</w:t>
      </w:r>
      <w:r w:rsidRPr="009F3B23">
        <w:rPr>
          <w:rFonts w:ascii="Arial" w:eastAsia="Times New Roman" w:hAnsi="Arial" w:cs="Arial"/>
          <w:b/>
          <w:lang w:eastAsia="ja-JP"/>
        </w:rPr>
        <w:t>, 2021</w:t>
      </w:r>
      <w:r w:rsidRPr="009F3B23">
        <w:rPr>
          <w:rFonts w:ascii="Arial" w:eastAsia="Times New Roman" w:hAnsi="Arial" w:cs="Arial"/>
          <w:lang w:eastAsia="ja-JP"/>
        </w:rPr>
        <w:t xml:space="preserve"> – SRM (Strategic Resource Management), </w:t>
      </w:r>
      <w:r w:rsidR="00B42E4B" w:rsidRPr="002B02FF">
        <w:rPr>
          <w:rFonts w:ascii="Arial" w:hAnsi="Arial" w:cs="Arial"/>
        </w:rPr>
        <w:t xml:space="preserve">an independent </w:t>
      </w:r>
      <w:r w:rsidR="00B42E4B" w:rsidRPr="002B02FF">
        <w:rPr>
          <w:rFonts w:ascii="Arial" w:eastAsia="Georgia" w:hAnsi="Arial" w:cs="Arial"/>
        </w:rPr>
        <w:t>advisory</w:t>
      </w:r>
      <w:r w:rsidR="00B42E4B" w:rsidRPr="002B02FF">
        <w:rPr>
          <w:rFonts w:ascii="Arial" w:hAnsi="Arial" w:cs="Arial"/>
        </w:rPr>
        <w:t xml:space="preserve"> firm </w:t>
      </w:r>
      <w:r w:rsidR="00B42E4B">
        <w:rPr>
          <w:rFonts w:ascii="Arial" w:hAnsi="Arial" w:cs="Arial"/>
        </w:rPr>
        <w:t xml:space="preserve">serving </w:t>
      </w:r>
      <w:r w:rsidR="00B42E4B" w:rsidRPr="002B02FF">
        <w:rPr>
          <w:rFonts w:ascii="Arial" w:hAnsi="Arial" w:cs="Arial"/>
        </w:rPr>
        <w:t>financial institutions</w:t>
      </w:r>
      <w:r w:rsidR="00B42E4B">
        <w:rPr>
          <w:rFonts w:ascii="Arial" w:hAnsi="Arial" w:cs="Arial"/>
        </w:rPr>
        <w:t xml:space="preserve"> and other key industries</w:t>
      </w:r>
      <w:r w:rsidRPr="009F3B23">
        <w:rPr>
          <w:rFonts w:ascii="Arial" w:eastAsia="Times New Roman" w:hAnsi="Arial" w:cs="Arial"/>
          <w:lang w:eastAsia="ja-JP"/>
        </w:rPr>
        <w:t>, today share</w:t>
      </w:r>
      <w:r w:rsidR="006C2574">
        <w:rPr>
          <w:rFonts w:ascii="Arial" w:eastAsia="Times New Roman" w:hAnsi="Arial" w:cs="Arial"/>
          <w:lang w:eastAsia="ja-JP"/>
        </w:rPr>
        <w:t>s</w:t>
      </w:r>
      <w:r w:rsidRPr="009F3B23">
        <w:rPr>
          <w:rFonts w:ascii="Arial" w:eastAsia="Times New Roman" w:hAnsi="Arial" w:cs="Arial"/>
          <w:lang w:eastAsia="ja-JP"/>
        </w:rPr>
        <w:t xml:space="preserve"> commentary on the top trends it</w:t>
      </w:r>
      <w:r w:rsidR="00496770">
        <w:rPr>
          <w:rFonts w:ascii="Arial" w:eastAsia="Times New Roman" w:hAnsi="Arial" w:cs="Arial"/>
          <w:lang w:eastAsia="ja-JP"/>
        </w:rPr>
        <w:t xml:space="preserve"> has</w:t>
      </w:r>
      <w:r w:rsidRPr="009F3B23">
        <w:rPr>
          <w:rFonts w:ascii="Arial" w:eastAsia="Times New Roman" w:hAnsi="Arial" w:cs="Arial"/>
          <w:lang w:eastAsia="ja-JP"/>
        </w:rPr>
        <w:t xml:space="preserve"> seen impact </w:t>
      </w:r>
      <w:r w:rsidR="00E92004">
        <w:rPr>
          <w:rFonts w:ascii="Arial" w:eastAsia="Times New Roman" w:hAnsi="Arial" w:cs="Arial"/>
          <w:lang w:eastAsia="ja-JP"/>
        </w:rPr>
        <w:t xml:space="preserve">banks and credit unions </w:t>
      </w:r>
      <w:r w:rsidRPr="009F3B23">
        <w:rPr>
          <w:rFonts w:ascii="Arial" w:eastAsia="Times New Roman" w:hAnsi="Arial" w:cs="Arial"/>
          <w:lang w:eastAsia="ja-JP"/>
        </w:rPr>
        <w:t xml:space="preserve">so far this year and </w:t>
      </w:r>
      <w:r w:rsidR="00E92004">
        <w:rPr>
          <w:rFonts w:ascii="Arial" w:eastAsia="Times New Roman" w:hAnsi="Arial" w:cs="Arial"/>
          <w:lang w:eastAsia="ja-JP"/>
        </w:rPr>
        <w:t xml:space="preserve">predictions for </w:t>
      </w:r>
      <w:proofErr w:type="gramStart"/>
      <w:r w:rsidRPr="009F3B23">
        <w:rPr>
          <w:rFonts w:ascii="Arial" w:eastAsia="Times New Roman" w:hAnsi="Arial" w:cs="Arial"/>
          <w:lang w:eastAsia="ja-JP"/>
        </w:rPr>
        <w:t>what’s</w:t>
      </w:r>
      <w:proofErr w:type="gramEnd"/>
      <w:r w:rsidRPr="009F3B23">
        <w:rPr>
          <w:rFonts w:ascii="Arial" w:eastAsia="Times New Roman" w:hAnsi="Arial" w:cs="Arial"/>
          <w:lang w:eastAsia="ja-JP"/>
        </w:rPr>
        <w:t xml:space="preserve"> to come in the </w:t>
      </w:r>
      <w:r w:rsidR="00E92004">
        <w:rPr>
          <w:rFonts w:ascii="Arial" w:eastAsia="Times New Roman" w:hAnsi="Arial" w:cs="Arial"/>
          <w:lang w:eastAsia="ja-JP"/>
        </w:rPr>
        <w:t xml:space="preserve">second half </w:t>
      </w:r>
      <w:r w:rsidR="00281CFC">
        <w:rPr>
          <w:rFonts w:ascii="Arial" w:eastAsia="Times New Roman" w:hAnsi="Arial" w:cs="Arial"/>
          <w:lang w:eastAsia="ja-JP"/>
        </w:rPr>
        <w:t>of 2021.</w:t>
      </w:r>
    </w:p>
    <w:p w14:paraId="35FC2B93" w14:textId="152CC6CA" w:rsidR="00830479" w:rsidRPr="009F3B23" w:rsidRDefault="009F3B23" w:rsidP="00322DD5">
      <w:pPr>
        <w:spacing w:before="100" w:beforeAutospacing="1" w:after="100" w:afterAutospacing="1" w:line="276" w:lineRule="auto"/>
        <w:ind w:left="360"/>
        <w:rPr>
          <w:rFonts w:ascii="Arial" w:eastAsia="Times New Roman" w:hAnsi="Arial" w:cs="Arial"/>
          <w:b/>
          <w:bCs/>
        </w:rPr>
      </w:pPr>
      <w:r w:rsidRPr="009F3B23">
        <w:rPr>
          <w:rFonts w:ascii="Arial" w:eastAsia="Times New Roman" w:hAnsi="Arial" w:cs="Arial"/>
          <w:b/>
          <w:bCs/>
        </w:rPr>
        <w:t>An Indu</w:t>
      </w:r>
      <w:r w:rsidR="00830479" w:rsidRPr="009F3B23">
        <w:rPr>
          <w:rFonts w:ascii="Arial" w:eastAsia="Times New Roman" w:hAnsi="Arial" w:cs="Arial"/>
          <w:b/>
          <w:bCs/>
        </w:rPr>
        <w:t>stry Sea Change</w:t>
      </w:r>
    </w:p>
    <w:p w14:paraId="71547A44" w14:textId="37E1BB9A" w:rsidR="00830479" w:rsidRPr="009F3B23" w:rsidRDefault="00D76481" w:rsidP="0061585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9F3B23">
        <w:rPr>
          <w:rFonts w:ascii="Arial" w:hAnsi="Arial" w:cs="Arial"/>
        </w:rPr>
        <w:t xml:space="preserve">Mergers delayed due to the pandemic are now in full force and more complex. </w:t>
      </w:r>
      <w:hyperlink r:id="rId10" w:history="1">
        <w:r w:rsidRPr="009F3B23">
          <w:rPr>
            <w:rFonts w:ascii="Arial" w:hAnsi="Arial" w:cs="Arial"/>
            <w:u w:val="single"/>
          </w:rPr>
          <w:t>New data published by S&amp;P Global</w:t>
        </w:r>
      </w:hyperlink>
      <w:r w:rsidR="006C2574">
        <w:rPr>
          <w:rFonts w:ascii="Arial" w:hAnsi="Arial" w:cs="Arial"/>
        </w:rPr>
        <w:t xml:space="preserve"> </w:t>
      </w:r>
      <w:r w:rsidRPr="009F3B23">
        <w:rPr>
          <w:rFonts w:ascii="Arial" w:hAnsi="Arial" w:cs="Arial"/>
        </w:rPr>
        <w:t>shows M&amp;A transactions pushed back</w:t>
      </w:r>
      <w:r w:rsidR="00FF64E7">
        <w:rPr>
          <w:rFonts w:ascii="Arial" w:hAnsi="Arial" w:cs="Arial"/>
        </w:rPr>
        <w:t xml:space="preserve"> due to</w:t>
      </w:r>
      <w:r w:rsidRPr="009F3B23">
        <w:rPr>
          <w:rFonts w:ascii="Arial" w:hAnsi="Arial" w:cs="Arial"/>
        </w:rPr>
        <w:t xml:space="preserve"> </w:t>
      </w:r>
      <w:r w:rsidR="00B75E37">
        <w:rPr>
          <w:rFonts w:ascii="Arial" w:hAnsi="Arial" w:cs="Arial"/>
        </w:rPr>
        <w:t>COVID-19</w:t>
      </w:r>
      <w:r w:rsidRPr="009F3B23">
        <w:rPr>
          <w:rFonts w:ascii="Arial" w:hAnsi="Arial" w:cs="Arial"/>
        </w:rPr>
        <w:t xml:space="preserve"> are not only pent-up in numbers but also getting bigger - extending to regional and super-regional banks holding $10 billion to $1 trillion in assets. We expect to see even more </w:t>
      </w:r>
      <w:r w:rsidR="00B75E37">
        <w:rPr>
          <w:rFonts w:ascii="Arial" w:hAnsi="Arial" w:cs="Arial"/>
        </w:rPr>
        <w:t>mergers</w:t>
      </w:r>
      <w:r w:rsidR="00A72F16">
        <w:rPr>
          <w:rFonts w:ascii="Arial" w:hAnsi="Arial" w:cs="Arial"/>
        </w:rPr>
        <w:t xml:space="preserve"> </w:t>
      </w:r>
      <w:r w:rsidRPr="009F3B23">
        <w:rPr>
          <w:rFonts w:ascii="Arial" w:hAnsi="Arial" w:cs="Arial"/>
        </w:rPr>
        <w:t>among</w:t>
      </w:r>
      <w:r w:rsidR="00FF64E7">
        <w:rPr>
          <w:rFonts w:ascii="Arial" w:hAnsi="Arial" w:cs="Arial"/>
        </w:rPr>
        <w:t xml:space="preserve"> these</w:t>
      </w:r>
      <w:r w:rsidRPr="009F3B23">
        <w:rPr>
          <w:rFonts w:ascii="Arial" w:hAnsi="Arial" w:cs="Arial"/>
        </w:rPr>
        <w:t xml:space="preserve"> banks in the coming months, which will continue to impact competition in the marketplace.</w:t>
      </w:r>
    </w:p>
    <w:p w14:paraId="7776E68A" w14:textId="77777777" w:rsidR="009F3B23" w:rsidRPr="009F3B23" w:rsidRDefault="009F3B23" w:rsidP="00615858">
      <w:pPr>
        <w:pStyle w:val="ListParagraph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</w:p>
    <w:p w14:paraId="140332F3" w14:textId="7B90BB4F" w:rsidR="00830479" w:rsidRPr="00322DD5" w:rsidRDefault="00D76481" w:rsidP="0061585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9F3B23">
        <w:rPr>
          <w:rFonts w:ascii="Arial" w:eastAsia="Times New Roman" w:hAnsi="Arial" w:cs="Arial"/>
        </w:rPr>
        <w:t xml:space="preserve">The creation of the Payments Leadership Council (PLC) </w:t>
      </w:r>
      <w:r w:rsidR="007A2DE6">
        <w:rPr>
          <w:rFonts w:ascii="Arial" w:eastAsia="Times New Roman" w:hAnsi="Arial" w:cs="Arial"/>
        </w:rPr>
        <w:t xml:space="preserve">has been </w:t>
      </w:r>
      <w:r w:rsidRPr="009F3B23">
        <w:rPr>
          <w:rFonts w:ascii="Arial" w:eastAsia="Times New Roman" w:hAnsi="Arial" w:cs="Arial"/>
        </w:rPr>
        <w:t xml:space="preserve">monumental, as it seems that this group is attempting to position </w:t>
      </w:r>
      <w:r w:rsidR="000538FB">
        <w:rPr>
          <w:rFonts w:ascii="Arial" w:eastAsia="Times New Roman" w:hAnsi="Arial" w:cs="Arial"/>
        </w:rPr>
        <w:t>for</w:t>
      </w:r>
      <w:r w:rsidRPr="009F3B23">
        <w:rPr>
          <w:rFonts w:ascii="Arial" w:eastAsia="Times New Roman" w:hAnsi="Arial" w:cs="Arial"/>
        </w:rPr>
        <w:t xml:space="preserve"> “round two” of </w:t>
      </w:r>
      <w:r w:rsidR="004757C5">
        <w:rPr>
          <w:rFonts w:ascii="Arial" w:eastAsia="Times New Roman" w:hAnsi="Arial" w:cs="Arial"/>
        </w:rPr>
        <w:t xml:space="preserve">the </w:t>
      </w:r>
      <w:r w:rsidRPr="009F3B23">
        <w:rPr>
          <w:rFonts w:ascii="Arial" w:eastAsia="Times New Roman" w:hAnsi="Arial" w:cs="Arial"/>
        </w:rPr>
        <w:t>Durbin</w:t>
      </w:r>
      <w:r w:rsidR="004757C5">
        <w:rPr>
          <w:rFonts w:ascii="Arial" w:eastAsia="Times New Roman" w:hAnsi="Arial" w:cs="Arial"/>
        </w:rPr>
        <w:t xml:space="preserve"> </w:t>
      </w:r>
      <w:r w:rsidR="00E1169E">
        <w:rPr>
          <w:rFonts w:ascii="Arial" w:eastAsia="Times New Roman" w:hAnsi="Arial" w:cs="Arial"/>
        </w:rPr>
        <w:t>Amendment</w:t>
      </w:r>
      <w:r w:rsidRPr="009F3B23">
        <w:rPr>
          <w:rFonts w:ascii="Arial" w:eastAsia="Times New Roman" w:hAnsi="Arial" w:cs="Arial"/>
        </w:rPr>
        <w:t xml:space="preserve">. </w:t>
      </w:r>
      <w:r w:rsidRPr="009F3B23">
        <w:rPr>
          <w:rFonts w:ascii="Arial" w:hAnsi="Arial" w:cs="Arial"/>
        </w:rPr>
        <w:t xml:space="preserve">Although skirmishes surrounding </w:t>
      </w:r>
      <w:r w:rsidR="004757C5">
        <w:rPr>
          <w:rFonts w:ascii="Arial" w:hAnsi="Arial" w:cs="Arial"/>
        </w:rPr>
        <w:t>its</w:t>
      </w:r>
      <w:r w:rsidRPr="009F3B23">
        <w:rPr>
          <w:rFonts w:ascii="Arial" w:hAnsi="Arial" w:cs="Arial"/>
        </w:rPr>
        <w:t xml:space="preserve"> enactment may be fading, signs abound that both camps are girding for another round of battles.</w:t>
      </w:r>
      <w:r w:rsidR="00FF64E7">
        <w:rPr>
          <w:rFonts w:ascii="Arial" w:hAnsi="Arial" w:cs="Arial"/>
        </w:rPr>
        <w:t xml:space="preserve"> I</w:t>
      </w:r>
      <w:r w:rsidRPr="009F3B23">
        <w:rPr>
          <w:rFonts w:ascii="Arial" w:hAnsi="Arial" w:cs="Arial"/>
        </w:rPr>
        <w:t xml:space="preserve">nstitutions </w:t>
      </w:r>
      <w:r w:rsidR="0045286C">
        <w:rPr>
          <w:rFonts w:ascii="Arial" w:hAnsi="Arial" w:cs="Arial"/>
        </w:rPr>
        <w:t xml:space="preserve">need to be </w:t>
      </w:r>
      <w:r w:rsidRPr="009F3B23">
        <w:rPr>
          <w:rFonts w:ascii="Arial" w:hAnsi="Arial" w:cs="Arial"/>
        </w:rPr>
        <w:t>closely monitor</w:t>
      </w:r>
      <w:r w:rsidR="0073382B">
        <w:rPr>
          <w:rFonts w:ascii="Arial" w:hAnsi="Arial" w:cs="Arial"/>
        </w:rPr>
        <w:t>ing</w:t>
      </w:r>
      <w:r w:rsidRPr="009F3B23">
        <w:rPr>
          <w:rFonts w:ascii="Arial" w:hAnsi="Arial" w:cs="Arial"/>
        </w:rPr>
        <w:t xml:space="preserve"> developments with both the PLC and those on the legislative front.</w:t>
      </w:r>
    </w:p>
    <w:p w14:paraId="6E7A5BB7" w14:textId="77777777" w:rsidR="00E1169E" w:rsidRPr="00322DD5" w:rsidRDefault="00E1169E" w:rsidP="00322DD5">
      <w:pPr>
        <w:pStyle w:val="ListParagraph"/>
        <w:rPr>
          <w:rFonts w:ascii="Arial" w:eastAsia="Times New Roman" w:hAnsi="Arial" w:cs="Arial"/>
        </w:rPr>
      </w:pPr>
    </w:p>
    <w:p w14:paraId="2F719D3A" w14:textId="43764F25" w:rsidR="004757C5" w:rsidRDefault="003D1F25" w:rsidP="004757C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4757C5">
        <w:rPr>
          <w:rFonts w:ascii="Arial" w:eastAsia="Times New Roman" w:hAnsi="Arial" w:cs="Arial"/>
        </w:rPr>
        <w:t>T</w:t>
      </w:r>
      <w:r w:rsidR="00830479" w:rsidRPr="004757C5">
        <w:rPr>
          <w:rFonts w:ascii="Arial" w:eastAsia="Times New Roman" w:hAnsi="Arial" w:cs="Arial"/>
        </w:rPr>
        <w:t xml:space="preserve">he digitalization of payments </w:t>
      </w:r>
      <w:r w:rsidR="004757C5" w:rsidRPr="004757C5">
        <w:rPr>
          <w:rFonts w:ascii="Arial" w:eastAsia="Times New Roman" w:hAnsi="Arial" w:cs="Arial"/>
        </w:rPr>
        <w:t>continues to progress</w:t>
      </w:r>
      <w:r w:rsidR="006558B5" w:rsidRPr="004757C5">
        <w:rPr>
          <w:rFonts w:ascii="Arial" w:eastAsia="Times New Roman" w:hAnsi="Arial" w:cs="Arial"/>
        </w:rPr>
        <w:t xml:space="preserve"> </w:t>
      </w:r>
      <w:r w:rsidR="00830479" w:rsidRPr="004757C5">
        <w:rPr>
          <w:rFonts w:ascii="Arial" w:eastAsia="Times New Roman" w:hAnsi="Arial" w:cs="Arial"/>
        </w:rPr>
        <w:t>with further mobile wallet development</w:t>
      </w:r>
      <w:r w:rsidR="000538FB" w:rsidRPr="004757C5">
        <w:rPr>
          <w:rFonts w:ascii="Arial" w:eastAsia="Times New Roman" w:hAnsi="Arial" w:cs="Arial"/>
        </w:rPr>
        <w:t>s</w:t>
      </w:r>
      <w:r w:rsidR="00830479" w:rsidRPr="004757C5">
        <w:rPr>
          <w:rFonts w:ascii="Arial" w:eastAsia="Times New Roman" w:hAnsi="Arial" w:cs="Arial"/>
        </w:rPr>
        <w:t xml:space="preserve">, </w:t>
      </w:r>
      <w:r w:rsidR="00763485" w:rsidRPr="004757C5">
        <w:rPr>
          <w:rFonts w:ascii="Arial" w:eastAsia="Times New Roman" w:hAnsi="Arial" w:cs="Arial"/>
        </w:rPr>
        <w:t xml:space="preserve">increasing </w:t>
      </w:r>
      <w:r w:rsidR="00830479" w:rsidRPr="004757C5">
        <w:rPr>
          <w:rFonts w:ascii="Arial" w:eastAsia="Times New Roman" w:hAnsi="Arial" w:cs="Arial"/>
        </w:rPr>
        <w:t xml:space="preserve">contactless payment </w:t>
      </w:r>
      <w:r w:rsidR="007E0960" w:rsidRPr="004757C5">
        <w:rPr>
          <w:rFonts w:ascii="Arial" w:eastAsia="Times New Roman" w:hAnsi="Arial" w:cs="Arial"/>
        </w:rPr>
        <w:t>and</w:t>
      </w:r>
      <w:r w:rsidR="00830479" w:rsidRPr="004757C5">
        <w:rPr>
          <w:rFonts w:ascii="Arial" w:eastAsia="Times New Roman" w:hAnsi="Arial" w:cs="Arial"/>
        </w:rPr>
        <w:t xml:space="preserve"> P2P</w:t>
      </w:r>
      <w:r w:rsidR="007E0960" w:rsidRPr="004757C5">
        <w:rPr>
          <w:rFonts w:ascii="Arial" w:eastAsia="Times New Roman" w:hAnsi="Arial" w:cs="Arial"/>
        </w:rPr>
        <w:t xml:space="preserve"> </w:t>
      </w:r>
      <w:r w:rsidR="00E52575" w:rsidRPr="004757C5">
        <w:rPr>
          <w:rFonts w:ascii="Arial" w:eastAsia="Times New Roman" w:hAnsi="Arial" w:cs="Arial"/>
        </w:rPr>
        <w:t>usage, more</w:t>
      </w:r>
      <w:r w:rsidR="00763485" w:rsidRPr="004757C5">
        <w:rPr>
          <w:rFonts w:ascii="Arial" w:eastAsia="Times New Roman" w:hAnsi="Arial" w:cs="Arial"/>
        </w:rPr>
        <w:t xml:space="preserve"> bu</w:t>
      </w:r>
      <w:r w:rsidR="00830479" w:rsidRPr="004757C5">
        <w:rPr>
          <w:rFonts w:ascii="Arial" w:eastAsia="Times New Roman" w:hAnsi="Arial" w:cs="Arial"/>
        </w:rPr>
        <w:t>y-now-</w:t>
      </w:r>
      <w:r w:rsidR="000538FB" w:rsidRPr="004757C5">
        <w:rPr>
          <w:rFonts w:ascii="Arial" w:eastAsia="Times New Roman" w:hAnsi="Arial" w:cs="Arial"/>
        </w:rPr>
        <w:t>pay-</w:t>
      </w:r>
      <w:r w:rsidR="00830479" w:rsidRPr="004757C5">
        <w:rPr>
          <w:rFonts w:ascii="Arial" w:eastAsia="Times New Roman" w:hAnsi="Arial" w:cs="Arial"/>
        </w:rPr>
        <w:t>later options</w:t>
      </w:r>
      <w:r w:rsidRPr="004757C5">
        <w:rPr>
          <w:rFonts w:ascii="Arial" w:eastAsia="Times New Roman" w:hAnsi="Arial" w:cs="Arial"/>
        </w:rPr>
        <w:t>,</w:t>
      </w:r>
      <w:r w:rsidR="00830479" w:rsidRPr="004757C5">
        <w:rPr>
          <w:rFonts w:ascii="Arial" w:eastAsia="Times New Roman" w:hAnsi="Arial" w:cs="Arial"/>
        </w:rPr>
        <w:t xml:space="preserve"> and crypto implementations</w:t>
      </w:r>
      <w:r w:rsidR="009F3B23" w:rsidRPr="004757C5">
        <w:rPr>
          <w:rFonts w:ascii="Arial" w:eastAsia="Times New Roman" w:hAnsi="Arial" w:cs="Arial"/>
        </w:rPr>
        <w:t>. We’ve also seen many</w:t>
      </w:r>
      <w:r w:rsidR="006A6509">
        <w:rPr>
          <w:rFonts w:ascii="Arial" w:eastAsia="Times New Roman" w:hAnsi="Arial" w:cs="Arial"/>
        </w:rPr>
        <w:t xml:space="preserve"> institutions</w:t>
      </w:r>
      <w:r w:rsidR="009F3B23" w:rsidRPr="004757C5">
        <w:rPr>
          <w:rFonts w:ascii="Arial" w:eastAsia="Times New Roman" w:hAnsi="Arial" w:cs="Arial"/>
        </w:rPr>
        <w:t xml:space="preserve"> revamping their loyalty and rewards programs to better serve their customers and members,</w:t>
      </w:r>
      <w:r w:rsidR="00830479" w:rsidRPr="004757C5">
        <w:rPr>
          <w:rFonts w:ascii="Arial" w:eastAsia="Times New Roman" w:hAnsi="Arial" w:cs="Arial"/>
        </w:rPr>
        <w:t xml:space="preserve"> </w:t>
      </w:r>
      <w:r w:rsidR="009F3B23" w:rsidRPr="004757C5">
        <w:rPr>
          <w:rFonts w:ascii="Arial" w:eastAsia="Times New Roman" w:hAnsi="Arial" w:cs="Arial"/>
        </w:rPr>
        <w:t>i</w:t>
      </w:r>
      <w:r w:rsidR="00830479" w:rsidRPr="004757C5">
        <w:rPr>
          <w:rFonts w:ascii="Arial" w:eastAsia="Times New Roman" w:hAnsi="Arial" w:cs="Arial"/>
        </w:rPr>
        <w:t>ncluding crypto reward programs for credit</w:t>
      </w:r>
      <w:r w:rsidR="00E52575" w:rsidRPr="004757C5">
        <w:rPr>
          <w:rFonts w:ascii="Arial" w:eastAsia="Times New Roman" w:hAnsi="Arial" w:cs="Arial"/>
        </w:rPr>
        <w:t xml:space="preserve"> and </w:t>
      </w:r>
      <w:r w:rsidR="00830479" w:rsidRPr="004757C5">
        <w:rPr>
          <w:rFonts w:ascii="Arial" w:eastAsia="Times New Roman" w:hAnsi="Arial" w:cs="Arial"/>
        </w:rPr>
        <w:t>debit cards</w:t>
      </w:r>
      <w:r w:rsidR="00E52575" w:rsidRPr="004757C5">
        <w:rPr>
          <w:rFonts w:ascii="Arial" w:eastAsia="Times New Roman" w:hAnsi="Arial" w:cs="Arial"/>
        </w:rPr>
        <w:t>.</w:t>
      </w:r>
    </w:p>
    <w:p w14:paraId="1AE0B789" w14:textId="77777777" w:rsidR="00E1169E" w:rsidRPr="000A338B" w:rsidRDefault="00E1169E" w:rsidP="00322DD5">
      <w:pPr>
        <w:pStyle w:val="ListParagraph"/>
        <w:spacing w:before="100" w:beforeAutospacing="1" w:after="100" w:afterAutospacing="1" w:line="276" w:lineRule="auto"/>
        <w:rPr>
          <w:rFonts w:ascii="Arial" w:eastAsia="Times New Roman" w:hAnsi="Arial" w:cs="Arial"/>
        </w:rPr>
      </w:pPr>
    </w:p>
    <w:p w14:paraId="0FB6B16F" w14:textId="64239897" w:rsidR="004817B7" w:rsidRPr="009F3B23" w:rsidRDefault="004817B7" w:rsidP="00615858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9F3B23">
        <w:rPr>
          <w:rFonts w:ascii="Arial" w:eastAsia="Times New Roman" w:hAnsi="Arial" w:cs="Arial"/>
        </w:rPr>
        <w:t xml:space="preserve">While consumer behavior continues to evolve, </w:t>
      </w:r>
      <w:r w:rsidR="009F3B23" w:rsidRPr="009F3B23">
        <w:rPr>
          <w:rFonts w:ascii="Arial" w:eastAsia="Times New Roman" w:hAnsi="Arial" w:cs="Arial"/>
        </w:rPr>
        <w:t xml:space="preserve">digital usage is </w:t>
      </w:r>
      <w:r w:rsidR="00E1169E" w:rsidRPr="009F3B23">
        <w:rPr>
          <w:rFonts w:ascii="Arial" w:eastAsia="Times New Roman" w:hAnsi="Arial" w:cs="Arial"/>
        </w:rPr>
        <w:t>steadying,</w:t>
      </w:r>
      <w:r w:rsidR="009F3B23" w:rsidRPr="009F3B23">
        <w:rPr>
          <w:rFonts w:ascii="Arial" w:eastAsia="Times New Roman" w:hAnsi="Arial" w:cs="Arial"/>
        </w:rPr>
        <w:t xml:space="preserve"> and</w:t>
      </w:r>
      <w:r w:rsidRPr="009F3B23">
        <w:rPr>
          <w:rFonts w:ascii="Arial" w:eastAsia="Times New Roman" w:hAnsi="Arial" w:cs="Arial"/>
        </w:rPr>
        <w:t xml:space="preserve"> the digital revolution won. In a recent</w:t>
      </w:r>
      <w:r w:rsidR="00E1169E">
        <w:rPr>
          <w:rFonts w:ascii="Arial" w:eastAsia="Times New Roman" w:hAnsi="Arial" w:cs="Arial"/>
        </w:rPr>
        <w:t xml:space="preserve"> </w:t>
      </w:r>
      <w:r w:rsidR="006558B5">
        <w:rPr>
          <w:rFonts w:ascii="Arial" w:eastAsia="Times New Roman" w:hAnsi="Arial" w:cs="Arial"/>
        </w:rPr>
        <w:t>US consumer</w:t>
      </w:r>
      <w:r w:rsidRPr="009F3B23">
        <w:rPr>
          <w:rFonts w:ascii="Arial" w:eastAsia="Times New Roman" w:hAnsi="Arial" w:cs="Arial"/>
        </w:rPr>
        <w:t xml:space="preserve"> survey</w:t>
      </w:r>
      <w:r w:rsidR="006A6509">
        <w:rPr>
          <w:rFonts w:ascii="Arial" w:eastAsia="Times New Roman" w:hAnsi="Arial" w:cs="Arial"/>
        </w:rPr>
        <w:t xml:space="preserve"> conducted by SRM</w:t>
      </w:r>
      <w:r w:rsidRPr="009F3B23">
        <w:rPr>
          <w:rFonts w:ascii="Arial" w:eastAsia="Times New Roman" w:hAnsi="Arial" w:cs="Arial"/>
        </w:rPr>
        <w:t xml:space="preserve">, only 8% of </w:t>
      </w:r>
      <w:r w:rsidR="00E1169E">
        <w:rPr>
          <w:rFonts w:ascii="Arial" w:eastAsia="Times New Roman" w:hAnsi="Arial" w:cs="Arial"/>
        </w:rPr>
        <w:t xml:space="preserve">respondents </w:t>
      </w:r>
      <w:r w:rsidRPr="009F3B23">
        <w:rPr>
          <w:rFonts w:ascii="Arial" w:eastAsia="Times New Roman" w:hAnsi="Arial" w:cs="Arial"/>
        </w:rPr>
        <w:t xml:space="preserve">were new to doing their banking via digital channels. </w:t>
      </w:r>
      <w:r w:rsidR="009F3B23" w:rsidRPr="009F3B23">
        <w:rPr>
          <w:rFonts w:ascii="Arial" w:eastAsia="Times New Roman" w:hAnsi="Arial" w:cs="Arial"/>
        </w:rPr>
        <w:t xml:space="preserve">Virtual assistants are also beginning to gain more traction. On average, 1 in 5 respondents said they would prefer using a virtual assistant (Alexa or Google Home, for example) </w:t>
      </w:r>
      <w:proofErr w:type="gramStart"/>
      <w:r w:rsidR="00E1169E" w:rsidRPr="009F3B23">
        <w:rPr>
          <w:rFonts w:ascii="Arial" w:eastAsia="Times New Roman" w:hAnsi="Arial" w:cs="Arial"/>
        </w:rPr>
        <w:t>over</w:t>
      </w:r>
      <w:r w:rsidR="00E1169E">
        <w:rPr>
          <w:rFonts w:ascii="Arial" w:eastAsia="Times New Roman" w:hAnsi="Arial" w:cs="Arial"/>
        </w:rPr>
        <w:t xml:space="preserve"> using</w:t>
      </w:r>
      <w:proofErr w:type="gramEnd"/>
      <w:r w:rsidR="009F3B23" w:rsidRPr="009F3B23">
        <w:rPr>
          <w:rFonts w:ascii="Arial" w:eastAsia="Times New Roman" w:hAnsi="Arial" w:cs="Arial"/>
        </w:rPr>
        <w:t xml:space="preserve"> an app </w:t>
      </w:r>
      <w:r w:rsidR="009F3B23" w:rsidRPr="009F3B23">
        <w:rPr>
          <w:rFonts w:ascii="Arial" w:eastAsia="Times New Roman" w:hAnsi="Arial" w:cs="Arial"/>
        </w:rPr>
        <w:lastRenderedPageBreak/>
        <w:t xml:space="preserve">to do their banking. Institutions need to </w:t>
      </w:r>
      <w:r w:rsidR="009C2477">
        <w:rPr>
          <w:rFonts w:ascii="Arial" w:eastAsia="Times New Roman" w:hAnsi="Arial" w:cs="Arial"/>
        </w:rPr>
        <w:t xml:space="preserve">adapt </w:t>
      </w:r>
      <w:r w:rsidR="00D74378">
        <w:rPr>
          <w:rFonts w:ascii="Arial" w:eastAsia="Times New Roman" w:hAnsi="Arial" w:cs="Arial"/>
        </w:rPr>
        <w:t xml:space="preserve">to </w:t>
      </w:r>
      <w:r w:rsidR="0009002A">
        <w:rPr>
          <w:rFonts w:ascii="Arial" w:eastAsia="Times New Roman" w:hAnsi="Arial" w:cs="Arial"/>
        </w:rPr>
        <w:t xml:space="preserve">their </w:t>
      </w:r>
      <w:r w:rsidR="00B474A0">
        <w:rPr>
          <w:rFonts w:ascii="Arial" w:eastAsia="Times New Roman" w:hAnsi="Arial" w:cs="Arial"/>
        </w:rPr>
        <w:t>consumers</w:t>
      </w:r>
      <w:r w:rsidR="007A3787">
        <w:rPr>
          <w:rFonts w:ascii="Arial" w:eastAsia="Times New Roman" w:hAnsi="Arial" w:cs="Arial"/>
        </w:rPr>
        <w:t xml:space="preserve"> -</w:t>
      </w:r>
      <w:r w:rsidR="00B474A0">
        <w:rPr>
          <w:rFonts w:ascii="Arial" w:eastAsia="Times New Roman" w:hAnsi="Arial" w:cs="Arial"/>
        </w:rPr>
        <w:t xml:space="preserve"> including thos</w:t>
      </w:r>
      <w:r w:rsidR="000538FB">
        <w:rPr>
          <w:rFonts w:ascii="Arial" w:eastAsia="Times New Roman" w:hAnsi="Arial" w:cs="Arial"/>
        </w:rPr>
        <w:t>e</w:t>
      </w:r>
      <w:r w:rsidR="00B474A0">
        <w:rPr>
          <w:rFonts w:ascii="Arial" w:eastAsia="Times New Roman" w:hAnsi="Arial" w:cs="Arial"/>
        </w:rPr>
        <w:t xml:space="preserve"> working from home</w:t>
      </w:r>
      <w:r w:rsidR="007A3787">
        <w:rPr>
          <w:rFonts w:ascii="Arial" w:eastAsia="Times New Roman" w:hAnsi="Arial" w:cs="Arial"/>
        </w:rPr>
        <w:t xml:space="preserve"> -</w:t>
      </w:r>
      <w:r w:rsidR="00B474A0">
        <w:rPr>
          <w:rFonts w:ascii="Arial" w:eastAsia="Times New Roman" w:hAnsi="Arial" w:cs="Arial"/>
        </w:rPr>
        <w:t xml:space="preserve"> </w:t>
      </w:r>
      <w:r w:rsidR="009F3B23" w:rsidRPr="009F3B23">
        <w:rPr>
          <w:rFonts w:ascii="Arial" w:eastAsia="Times New Roman" w:hAnsi="Arial" w:cs="Arial"/>
        </w:rPr>
        <w:t xml:space="preserve">to </w:t>
      </w:r>
      <w:r w:rsidR="00393487">
        <w:rPr>
          <w:rFonts w:ascii="Arial" w:eastAsia="Times New Roman" w:hAnsi="Arial" w:cs="Arial"/>
        </w:rPr>
        <w:t>stay relevant and competitive</w:t>
      </w:r>
      <w:r w:rsidR="00F66A98">
        <w:rPr>
          <w:rFonts w:ascii="Arial" w:eastAsia="Times New Roman" w:hAnsi="Arial" w:cs="Arial"/>
        </w:rPr>
        <w:t>.</w:t>
      </w:r>
    </w:p>
    <w:p w14:paraId="16B0EA67" w14:textId="0F789871" w:rsidR="009F3B23" w:rsidRPr="009F3B23" w:rsidRDefault="009618DE" w:rsidP="009F3B23">
      <w:pPr>
        <w:spacing w:before="100" w:beforeAutospacing="1" w:after="100" w:afterAutospacing="1" w:line="300" w:lineRule="auto"/>
        <w:ind w:left="3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Recalibrating</w:t>
      </w:r>
      <w:r w:rsidRPr="009F3B23">
        <w:rPr>
          <w:rFonts w:ascii="Arial" w:eastAsia="Times New Roman" w:hAnsi="Arial" w:cs="Arial"/>
          <w:b/>
          <w:bCs/>
        </w:rPr>
        <w:t xml:space="preserve"> </w:t>
      </w:r>
      <w:r w:rsidR="009F3B23" w:rsidRPr="009F3B23">
        <w:rPr>
          <w:rFonts w:ascii="Arial" w:eastAsia="Times New Roman" w:hAnsi="Arial" w:cs="Arial"/>
          <w:b/>
          <w:bCs/>
        </w:rPr>
        <w:t>FIs</w:t>
      </w:r>
      <w:r w:rsidR="000538FB">
        <w:rPr>
          <w:rFonts w:ascii="Arial" w:eastAsia="Times New Roman" w:hAnsi="Arial" w:cs="Arial"/>
          <w:b/>
          <w:bCs/>
        </w:rPr>
        <w:t>’</w:t>
      </w:r>
      <w:r w:rsidR="009F3B23" w:rsidRPr="009F3B23">
        <w:rPr>
          <w:rFonts w:ascii="Arial" w:eastAsia="Times New Roman" w:hAnsi="Arial" w:cs="Arial"/>
          <w:b/>
          <w:bCs/>
        </w:rPr>
        <w:t xml:space="preserve"> Revenue</w:t>
      </w:r>
      <w:r w:rsidR="005B78A3">
        <w:rPr>
          <w:rFonts w:ascii="Arial" w:eastAsia="Times New Roman" w:hAnsi="Arial" w:cs="Arial"/>
          <w:b/>
          <w:bCs/>
        </w:rPr>
        <w:t xml:space="preserve"> Streams</w:t>
      </w:r>
    </w:p>
    <w:p w14:paraId="6E97A249" w14:textId="2E247EC8" w:rsidR="00102163" w:rsidRPr="009F3B23" w:rsidRDefault="00510ABE" w:rsidP="00102163">
      <w:pPr>
        <w:pStyle w:val="ListParagraph"/>
        <w:numPr>
          <w:ilvl w:val="0"/>
          <w:numId w:val="8"/>
        </w:numPr>
        <w:spacing w:before="100" w:beforeAutospacing="1" w:after="100" w:afterAutospacing="1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</w:t>
      </w:r>
      <w:r w:rsidR="00102163" w:rsidRPr="009F3B23">
        <w:rPr>
          <w:rFonts w:ascii="Arial" w:eastAsia="Times New Roman" w:hAnsi="Arial" w:cs="Arial"/>
        </w:rPr>
        <w:t xml:space="preserve">ard networks </w:t>
      </w:r>
      <w:r w:rsidR="00461AF8">
        <w:rPr>
          <w:rFonts w:ascii="Arial" w:eastAsia="Times New Roman" w:hAnsi="Arial" w:cs="Arial"/>
        </w:rPr>
        <w:t>are</w:t>
      </w:r>
      <w:r w:rsidR="00102163" w:rsidRPr="009F3B23">
        <w:rPr>
          <w:rFonts w:ascii="Arial" w:eastAsia="Times New Roman" w:hAnsi="Arial" w:cs="Arial"/>
        </w:rPr>
        <w:t xml:space="preserve"> planning for post-pandemic consumer pay</w:t>
      </w:r>
      <w:r w:rsidR="00345A39">
        <w:rPr>
          <w:rFonts w:ascii="Arial" w:eastAsia="Times New Roman" w:hAnsi="Arial" w:cs="Arial"/>
        </w:rPr>
        <w:t>ments</w:t>
      </w:r>
      <w:r w:rsidR="00102163" w:rsidRPr="009F3B23">
        <w:rPr>
          <w:rFonts w:ascii="Arial" w:eastAsia="Times New Roman" w:hAnsi="Arial" w:cs="Arial"/>
        </w:rPr>
        <w:t xml:space="preserve">. </w:t>
      </w:r>
      <w:r w:rsidR="000B2942" w:rsidRPr="009F3B23">
        <w:rPr>
          <w:rFonts w:ascii="Arial" w:eastAsia="Times New Roman" w:hAnsi="Arial" w:cs="Arial"/>
        </w:rPr>
        <w:t xml:space="preserve">With card dynamics shifting, </w:t>
      </w:r>
      <w:r w:rsidR="00461AF8">
        <w:rPr>
          <w:rFonts w:ascii="Arial" w:eastAsia="Times New Roman" w:hAnsi="Arial" w:cs="Arial"/>
        </w:rPr>
        <w:t xml:space="preserve">financial institutions </w:t>
      </w:r>
      <w:r w:rsidR="000B2942" w:rsidRPr="009F3B23">
        <w:rPr>
          <w:rFonts w:ascii="Arial" w:eastAsia="Times New Roman" w:hAnsi="Arial" w:cs="Arial"/>
        </w:rPr>
        <w:t>must carefully execute their portfolio optimization strategy, which will depend on location, merchant composition</w:t>
      </w:r>
      <w:r w:rsidR="00345A39">
        <w:rPr>
          <w:rFonts w:ascii="Arial" w:eastAsia="Times New Roman" w:hAnsi="Arial" w:cs="Arial"/>
        </w:rPr>
        <w:t>,</w:t>
      </w:r>
      <w:r w:rsidR="000B2942" w:rsidRPr="009F3B23">
        <w:rPr>
          <w:rFonts w:ascii="Arial" w:eastAsia="Times New Roman" w:hAnsi="Arial" w:cs="Arial"/>
        </w:rPr>
        <w:t xml:space="preserve"> </w:t>
      </w:r>
      <w:r w:rsidR="00107E06">
        <w:rPr>
          <w:rFonts w:ascii="Arial" w:eastAsia="Times New Roman" w:hAnsi="Arial" w:cs="Arial"/>
        </w:rPr>
        <w:t xml:space="preserve">and </w:t>
      </w:r>
      <w:r w:rsidR="000B2942" w:rsidRPr="009F3B23">
        <w:rPr>
          <w:rFonts w:ascii="Arial" w:eastAsia="Times New Roman" w:hAnsi="Arial" w:cs="Arial"/>
        </w:rPr>
        <w:t xml:space="preserve">other factors. Banks and credit unions </w:t>
      </w:r>
      <w:r w:rsidR="00982563">
        <w:rPr>
          <w:rFonts w:ascii="Arial" w:eastAsia="Times New Roman" w:hAnsi="Arial" w:cs="Arial"/>
        </w:rPr>
        <w:t xml:space="preserve">must </w:t>
      </w:r>
      <w:r w:rsidR="000B2942" w:rsidRPr="009F3B23">
        <w:rPr>
          <w:rFonts w:ascii="Arial" w:eastAsia="Times New Roman" w:hAnsi="Arial" w:cs="Arial"/>
        </w:rPr>
        <w:t xml:space="preserve">make sure </w:t>
      </w:r>
      <w:r w:rsidR="00E1169E">
        <w:rPr>
          <w:rFonts w:ascii="Arial" w:eastAsia="Times New Roman" w:hAnsi="Arial" w:cs="Arial"/>
        </w:rPr>
        <w:t>to optimally calibrate their</w:t>
      </w:r>
      <w:r w:rsidR="00E1169E" w:rsidRPr="009F3B23">
        <w:rPr>
          <w:rFonts w:ascii="Arial" w:eastAsia="Times New Roman" w:hAnsi="Arial" w:cs="Arial"/>
        </w:rPr>
        <w:t xml:space="preserve"> </w:t>
      </w:r>
      <w:r w:rsidR="000B2942" w:rsidRPr="009F3B23">
        <w:rPr>
          <w:rFonts w:ascii="Arial" w:eastAsia="Times New Roman" w:hAnsi="Arial" w:cs="Arial"/>
        </w:rPr>
        <w:t>network agreements.</w:t>
      </w:r>
    </w:p>
    <w:p w14:paraId="0A85B2CB" w14:textId="77777777" w:rsidR="009F3B23" w:rsidRPr="009F3B23" w:rsidRDefault="009F3B23" w:rsidP="009F3B23">
      <w:pPr>
        <w:pStyle w:val="ListParagraph"/>
        <w:spacing w:before="100" w:beforeAutospacing="1" w:after="100" w:afterAutospacing="1" w:line="300" w:lineRule="auto"/>
        <w:rPr>
          <w:rFonts w:ascii="Arial" w:eastAsia="Times New Roman" w:hAnsi="Arial" w:cs="Arial"/>
        </w:rPr>
      </w:pPr>
    </w:p>
    <w:p w14:paraId="1281FCB8" w14:textId="5147AC5D" w:rsidR="00830479" w:rsidRPr="009F3B23" w:rsidRDefault="000B2942" w:rsidP="005A354D">
      <w:pPr>
        <w:pStyle w:val="ListParagraph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 w:rsidRPr="009F3B23">
        <w:rPr>
          <w:rFonts w:ascii="Arial" w:eastAsia="Times New Roman" w:hAnsi="Arial" w:cs="Arial"/>
        </w:rPr>
        <w:t>Central Bank Digital Currencies (CBDC) continu</w:t>
      </w:r>
      <w:r w:rsidR="000538FB">
        <w:rPr>
          <w:rFonts w:ascii="Arial" w:eastAsia="Times New Roman" w:hAnsi="Arial" w:cs="Arial"/>
        </w:rPr>
        <w:t>e</w:t>
      </w:r>
      <w:r w:rsidRPr="009F3B23">
        <w:rPr>
          <w:rFonts w:ascii="Arial" w:eastAsia="Times New Roman" w:hAnsi="Arial" w:cs="Arial"/>
        </w:rPr>
        <w:t xml:space="preserve"> to emerge, with organizations like </w:t>
      </w:r>
      <w:r w:rsidR="00CA6482">
        <w:rPr>
          <w:rFonts w:ascii="Arial" w:eastAsia="Times New Roman" w:hAnsi="Arial" w:cs="Arial"/>
        </w:rPr>
        <w:t xml:space="preserve">the </w:t>
      </w:r>
      <w:r w:rsidRPr="009F3B23">
        <w:rPr>
          <w:rFonts w:ascii="Arial" w:eastAsia="Times New Roman" w:hAnsi="Arial" w:cs="Arial"/>
        </w:rPr>
        <w:t xml:space="preserve">Chinese </w:t>
      </w:r>
      <w:r w:rsidR="00D93029">
        <w:rPr>
          <w:rFonts w:ascii="Arial" w:eastAsia="Times New Roman" w:hAnsi="Arial" w:cs="Arial"/>
        </w:rPr>
        <w:t xml:space="preserve">and </w:t>
      </w:r>
      <w:r w:rsidRPr="009F3B23">
        <w:rPr>
          <w:rFonts w:ascii="Arial" w:eastAsia="Times New Roman" w:hAnsi="Arial" w:cs="Arial"/>
        </w:rPr>
        <w:t xml:space="preserve">European </w:t>
      </w:r>
      <w:r w:rsidR="00CA6482">
        <w:rPr>
          <w:rFonts w:ascii="Arial" w:eastAsia="Times New Roman" w:hAnsi="Arial" w:cs="Arial"/>
        </w:rPr>
        <w:t>c</w:t>
      </w:r>
      <w:r w:rsidRPr="009F3B23">
        <w:rPr>
          <w:rFonts w:ascii="Arial" w:eastAsia="Times New Roman" w:hAnsi="Arial" w:cs="Arial"/>
        </w:rPr>
        <w:t xml:space="preserve">entral </w:t>
      </w:r>
      <w:r w:rsidR="00D93029">
        <w:rPr>
          <w:rFonts w:ascii="Arial" w:eastAsia="Times New Roman" w:hAnsi="Arial" w:cs="Arial"/>
        </w:rPr>
        <w:t>b</w:t>
      </w:r>
      <w:r w:rsidRPr="009F3B23">
        <w:rPr>
          <w:rFonts w:ascii="Arial" w:eastAsia="Times New Roman" w:hAnsi="Arial" w:cs="Arial"/>
        </w:rPr>
        <w:t>ank</w:t>
      </w:r>
      <w:r w:rsidR="00D93029">
        <w:rPr>
          <w:rFonts w:ascii="Arial" w:eastAsia="Times New Roman" w:hAnsi="Arial" w:cs="Arial"/>
        </w:rPr>
        <w:t>s</w:t>
      </w:r>
      <w:r w:rsidRPr="009F3B23">
        <w:rPr>
          <w:rFonts w:ascii="Arial" w:eastAsia="Times New Roman" w:hAnsi="Arial" w:cs="Arial"/>
        </w:rPr>
        <w:t xml:space="preserve"> disrupting the global payments landscape. These must be carefully launched</w:t>
      </w:r>
      <w:r w:rsidR="000538FB">
        <w:rPr>
          <w:rFonts w:ascii="Arial" w:eastAsia="Times New Roman" w:hAnsi="Arial" w:cs="Arial"/>
        </w:rPr>
        <w:t>,</w:t>
      </w:r>
      <w:r w:rsidRPr="009F3B23">
        <w:rPr>
          <w:rFonts w:ascii="Arial" w:eastAsia="Times New Roman" w:hAnsi="Arial" w:cs="Arial"/>
        </w:rPr>
        <w:t xml:space="preserve"> though, as there are many </w:t>
      </w:r>
      <w:r w:rsidRPr="009F3B23">
        <w:rPr>
          <w:rFonts w:ascii="Arial" w:hAnsi="Arial" w:cs="Arial"/>
        </w:rPr>
        <w:t>monetary policy objectives a CBDC must accommodate in its design</w:t>
      </w:r>
      <w:r w:rsidR="00186595">
        <w:rPr>
          <w:rFonts w:ascii="Arial" w:hAnsi="Arial" w:cs="Arial"/>
        </w:rPr>
        <w:t xml:space="preserve">. </w:t>
      </w:r>
      <w:r w:rsidR="00AF4B1C" w:rsidRPr="009F3B23">
        <w:rPr>
          <w:rFonts w:ascii="Arial" w:hAnsi="Arial" w:cs="Arial"/>
        </w:rPr>
        <w:t xml:space="preserve">Institutions </w:t>
      </w:r>
      <w:r w:rsidR="00186595">
        <w:rPr>
          <w:rFonts w:ascii="Arial" w:hAnsi="Arial" w:cs="Arial"/>
        </w:rPr>
        <w:t xml:space="preserve">should </w:t>
      </w:r>
      <w:r w:rsidR="00AF4B1C" w:rsidRPr="009F3B23">
        <w:rPr>
          <w:rFonts w:ascii="Arial" w:hAnsi="Arial" w:cs="Arial"/>
        </w:rPr>
        <w:t>dedicat</w:t>
      </w:r>
      <w:r w:rsidR="00186595">
        <w:rPr>
          <w:rFonts w:ascii="Arial" w:hAnsi="Arial" w:cs="Arial"/>
        </w:rPr>
        <w:t>e</w:t>
      </w:r>
      <w:r w:rsidR="00AF4B1C" w:rsidRPr="009F3B23">
        <w:rPr>
          <w:rFonts w:ascii="Arial" w:hAnsi="Arial" w:cs="Arial"/>
        </w:rPr>
        <w:t xml:space="preserve"> resources to understanding the ins and outs of crypto, including non-fungible tokens (NFTs) and decentralized finance (DeFi).</w:t>
      </w:r>
    </w:p>
    <w:p w14:paraId="5BC375C2" w14:textId="1867E94F" w:rsidR="00830479" w:rsidRPr="009F3B23" w:rsidRDefault="009F3B23" w:rsidP="005A354D">
      <w:pPr>
        <w:spacing w:before="100" w:beforeAutospacing="1" w:after="100" w:afterAutospacing="1" w:line="276" w:lineRule="auto"/>
        <w:ind w:firstLine="360"/>
        <w:rPr>
          <w:rFonts w:ascii="Arial" w:eastAsia="Times New Roman" w:hAnsi="Arial" w:cs="Arial"/>
        </w:rPr>
      </w:pPr>
      <w:r w:rsidRPr="009F3B23">
        <w:rPr>
          <w:rFonts w:ascii="Arial" w:eastAsia="Times New Roman" w:hAnsi="Arial" w:cs="Arial"/>
          <w:b/>
          <w:bCs/>
        </w:rPr>
        <w:t>Rebuilding Internal Operations</w:t>
      </w:r>
      <w:r w:rsidR="00830479" w:rsidRPr="009F3B23">
        <w:rPr>
          <w:rFonts w:ascii="Arial" w:eastAsia="Times New Roman" w:hAnsi="Arial" w:cs="Arial"/>
        </w:rPr>
        <w:t xml:space="preserve"> </w:t>
      </w:r>
    </w:p>
    <w:p w14:paraId="4C113EEC" w14:textId="705822AD" w:rsidR="003050EF" w:rsidRDefault="004D5F84" w:rsidP="005A354D">
      <w:pPr>
        <w:numPr>
          <w:ilvl w:val="0"/>
          <w:numId w:val="7"/>
        </w:numPr>
        <w:spacing w:after="225" w:line="276" w:lineRule="auto"/>
        <w:rPr>
          <w:rFonts w:ascii="Arial" w:eastAsia="Times New Roman" w:hAnsi="Arial" w:cs="Arial"/>
        </w:rPr>
      </w:pPr>
      <w:r w:rsidRPr="009F3B23">
        <w:rPr>
          <w:rFonts w:ascii="Arial" w:eastAsia="Times New Roman" w:hAnsi="Arial" w:cs="Arial"/>
        </w:rPr>
        <w:t xml:space="preserve">Institutions are now recovering from the chaotic disruptions they faced </w:t>
      </w:r>
      <w:r w:rsidR="00E1169E">
        <w:rPr>
          <w:rFonts w:ascii="Arial" w:eastAsia="Times New Roman" w:hAnsi="Arial" w:cs="Arial"/>
        </w:rPr>
        <w:t>during</w:t>
      </w:r>
      <w:r w:rsidR="003050EF" w:rsidRPr="009F3B23">
        <w:rPr>
          <w:rFonts w:ascii="Arial" w:eastAsia="Times New Roman" w:hAnsi="Arial" w:cs="Arial"/>
        </w:rPr>
        <w:t xml:space="preserve"> the pandemic</w:t>
      </w:r>
      <w:r w:rsidR="00186595">
        <w:rPr>
          <w:rFonts w:ascii="Arial" w:eastAsia="Times New Roman" w:hAnsi="Arial" w:cs="Arial"/>
        </w:rPr>
        <w:t>,</w:t>
      </w:r>
      <w:r w:rsidR="003050EF" w:rsidRPr="009F3B23">
        <w:rPr>
          <w:rFonts w:ascii="Arial" w:eastAsia="Times New Roman" w:hAnsi="Arial" w:cs="Arial"/>
        </w:rPr>
        <w:t xml:space="preserve"> and it</w:t>
      </w:r>
      <w:r w:rsidR="00945E04">
        <w:rPr>
          <w:rFonts w:ascii="Arial" w:eastAsia="Times New Roman" w:hAnsi="Arial" w:cs="Arial"/>
        </w:rPr>
        <w:t xml:space="preserve"> i</w:t>
      </w:r>
      <w:r w:rsidR="003050EF" w:rsidRPr="009F3B23">
        <w:rPr>
          <w:rFonts w:ascii="Arial" w:eastAsia="Times New Roman" w:hAnsi="Arial" w:cs="Arial"/>
        </w:rPr>
        <w:t xml:space="preserve">s now time to rebuild operating models. The past year’s events have raised the stakes for three </w:t>
      </w:r>
      <w:r w:rsidR="00E1169E">
        <w:rPr>
          <w:rFonts w:ascii="Arial" w:eastAsia="Times New Roman" w:hAnsi="Arial" w:cs="Arial"/>
        </w:rPr>
        <w:t>critical</w:t>
      </w:r>
      <w:r w:rsidR="00E1169E" w:rsidRPr="009F3B23">
        <w:rPr>
          <w:rFonts w:ascii="Arial" w:eastAsia="Times New Roman" w:hAnsi="Arial" w:cs="Arial"/>
        </w:rPr>
        <w:t xml:space="preserve"> </w:t>
      </w:r>
      <w:r w:rsidR="003050EF" w:rsidRPr="009F3B23">
        <w:rPr>
          <w:rFonts w:ascii="Arial" w:eastAsia="Times New Roman" w:hAnsi="Arial" w:cs="Arial"/>
        </w:rPr>
        <w:t>areas: product portfolio mix</w:t>
      </w:r>
      <w:r w:rsidR="00186595">
        <w:rPr>
          <w:rFonts w:ascii="Arial" w:eastAsia="Times New Roman" w:hAnsi="Arial" w:cs="Arial"/>
        </w:rPr>
        <w:t>,</w:t>
      </w:r>
      <w:r w:rsidR="003050EF" w:rsidRPr="009F3B23">
        <w:rPr>
          <w:rFonts w:ascii="Arial" w:eastAsia="Times New Roman" w:hAnsi="Arial" w:cs="Arial"/>
        </w:rPr>
        <w:t xml:space="preserve"> supplier management</w:t>
      </w:r>
      <w:r w:rsidR="00186595">
        <w:rPr>
          <w:rFonts w:ascii="Arial" w:eastAsia="Times New Roman" w:hAnsi="Arial" w:cs="Arial"/>
        </w:rPr>
        <w:t xml:space="preserve">, and </w:t>
      </w:r>
      <w:r w:rsidR="00186595" w:rsidRPr="009F3B23">
        <w:rPr>
          <w:rFonts w:ascii="Arial" w:eastAsia="Times New Roman" w:hAnsi="Arial" w:cs="Arial"/>
        </w:rPr>
        <w:t>branch planning</w:t>
      </w:r>
      <w:r w:rsidR="00EF2CB1">
        <w:rPr>
          <w:rFonts w:ascii="Arial" w:eastAsia="Times New Roman" w:hAnsi="Arial" w:cs="Arial"/>
        </w:rPr>
        <w:t>/</w:t>
      </w:r>
      <w:r w:rsidR="00186595" w:rsidRPr="009F3B23">
        <w:rPr>
          <w:rFonts w:ascii="Arial" w:eastAsia="Times New Roman" w:hAnsi="Arial" w:cs="Arial"/>
        </w:rPr>
        <w:t>location strategy</w:t>
      </w:r>
      <w:r w:rsidR="003050EF" w:rsidRPr="009F3B23">
        <w:rPr>
          <w:rFonts w:ascii="Arial" w:eastAsia="Times New Roman" w:hAnsi="Arial" w:cs="Arial"/>
        </w:rPr>
        <w:t>. To achieve operational excellence in the post-pandemic environment, institutions must strategically rebuild these business models.</w:t>
      </w:r>
    </w:p>
    <w:p w14:paraId="5FCB301D" w14:textId="46F14FA7" w:rsidR="003400C1" w:rsidRPr="009F3B23" w:rsidRDefault="003400C1" w:rsidP="003400C1">
      <w:pPr>
        <w:spacing w:after="225" w:line="27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Brad Downs, CEO of SRM, commented, “The pandemic massively disrupted the financial services industry</w:t>
      </w:r>
      <w:r w:rsidR="00EF2CB1">
        <w:rPr>
          <w:rFonts w:ascii="Arial" w:eastAsia="Times New Roman" w:hAnsi="Arial" w:cs="Arial"/>
        </w:rPr>
        <w:t>, but</w:t>
      </w:r>
      <w:r>
        <w:rPr>
          <w:rFonts w:ascii="Arial" w:eastAsia="Times New Roman" w:hAnsi="Arial" w:cs="Arial"/>
        </w:rPr>
        <w:t xml:space="preserve"> bank</w:t>
      </w:r>
      <w:r w:rsidR="00C419CF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and credit union</w:t>
      </w:r>
      <w:r w:rsidR="00C419CF">
        <w:rPr>
          <w:rFonts w:ascii="Arial" w:eastAsia="Times New Roman" w:hAnsi="Arial" w:cs="Arial"/>
        </w:rPr>
        <w:t>s</w:t>
      </w:r>
      <w:r w:rsidR="00EF2CB1">
        <w:rPr>
          <w:rFonts w:ascii="Arial" w:eastAsia="Times New Roman" w:hAnsi="Arial" w:cs="Arial"/>
        </w:rPr>
        <w:t xml:space="preserve"> </w:t>
      </w:r>
      <w:r w:rsidR="00C419CF">
        <w:rPr>
          <w:rFonts w:ascii="Arial" w:eastAsia="Times New Roman" w:hAnsi="Arial" w:cs="Arial"/>
        </w:rPr>
        <w:t xml:space="preserve">showed great </w:t>
      </w:r>
      <w:r>
        <w:rPr>
          <w:rFonts w:ascii="Arial" w:eastAsia="Times New Roman" w:hAnsi="Arial" w:cs="Arial"/>
        </w:rPr>
        <w:t>agility in this chaotic time. Now</w:t>
      </w:r>
      <w:r w:rsidR="00E1169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with the world trending toward slowly opening back up, </w:t>
      </w:r>
      <w:r w:rsidR="00945E04">
        <w:rPr>
          <w:rFonts w:ascii="Arial" w:eastAsia="Times New Roman" w:hAnsi="Arial" w:cs="Arial"/>
        </w:rPr>
        <w:t>it i</w:t>
      </w:r>
      <w:r>
        <w:rPr>
          <w:rFonts w:ascii="Arial" w:eastAsia="Times New Roman" w:hAnsi="Arial" w:cs="Arial"/>
        </w:rPr>
        <w:t xml:space="preserve">s time to look forward and prepare for what’s next. Institutions need to </w:t>
      </w:r>
      <w:r w:rsidR="00C419CF">
        <w:rPr>
          <w:rFonts w:ascii="Arial" w:eastAsia="Times New Roman" w:hAnsi="Arial" w:cs="Arial"/>
        </w:rPr>
        <w:t xml:space="preserve">keep </w:t>
      </w:r>
      <w:r>
        <w:rPr>
          <w:rFonts w:ascii="Arial" w:eastAsia="Times New Roman" w:hAnsi="Arial" w:cs="Arial"/>
        </w:rPr>
        <w:t>adapt</w:t>
      </w:r>
      <w:r w:rsidR="00C419CF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to </w:t>
      </w:r>
      <w:r w:rsidR="00C419CF">
        <w:rPr>
          <w:rFonts w:ascii="Arial" w:eastAsia="Times New Roman" w:hAnsi="Arial" w:cs="Arial"/>
        </w:rPr>
        <w:t xml:space="preserve">new </w:t>
      </w:r>
      <w:r>
        <w:rPr>
          <w:rFonts w:ascii="Arial" w:eastAsia="Times New Roman" w:hAnsi="Arial" w:cs="Arial"/>
        </w:rPr>
        <w:t>consumer behaviors and preferences, restructure internal operations</w:t>
      </w:r>
      <w:r w:rsidR="009618D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 </w:t>
      </w:r>
      <w:r w:rsidR="009618DE">
        <w:rPr>
          <w:rFonts w:ascii="Arial" w:eastAsia="Times New Roman" w:hAnsi="Arial" w:cs="Arial"/>
        </w:rPr>
        <w:t xml:space="preserve">recalibrate </w:t>
      </w:r>
      <w:r>
        <w:rPr>
          <w:rFonts w:ascii="Arial" w:eastAsia="Times New Roman" w:hAnsi="Arial" w:cs="Arial"/>
        </w:rPr>
        <w:t>revenue model</w:t>
      </w:r>
      <w:r w:rsidR="005D5CE9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to </w:t>
      </w:r>
      <w:r w:rsidR="00D871B0">
        <w:rPr>
          <w:rFonts w:ascii="Arial" w:eastAsia="Times New Roman" w:hAnsi="Arial" w:cs="Arial"/>
        </w:rPr>
        <w:t xml:space="preserve">successfully </w:t>
      </w:r>
      <w:r>
        <w:rPr>
          <w:rFonts w:ascii="Arial" w:eastAsia="Times New Roman" w:hAnsi="Arial" w:cs="Arial"/>
        </w:rPr>
        <w:t>scale this year and next.”</w:t>
      </w:r>
    </w:p>
    <w:p w14:paraId="74E8D9D3" w14:textId="77777777" w:rsidR="00830479" w:rsidRPr="009F3B23" w:rsidRDefault="00830479" w:rsidP="00830479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</w:p>
    <w:p w14:paraId="6F7D3134" w14:textId="67840B51" w:rsidR="00830479" w:rsidRPr="009F3B23" w:rsidRDefault="00830479" w:rsidP="00830479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  <w:r w:rsidRPr="009F3B23">
        <w:rPr>
          <w:rFonts w:ascii="Arial" w:eastAsia="Times New Roman" w:hAnsi="Arial" w:cs="Arial"/>
          <w:b/>
          <w:bCs/>
        </w:rPr>
        <w:t>About SRM</w:t>
      </w:r>
    </w:p>
    <w:p w14:paraId="3409FF99" w14:textId="77777777" w:rsidR="00370EEC" w:rsidRPr="002B02FF" w:rsidRDefault="00370EEC" w:rsidP="00370EEC">
      <w:pPr>
        <w:spacing w:line="276" w:lineRule="auto"/>
        <w:rPr>
          <w:rFonts w:ascii="Arial" w:hAnsi="Arial" w:cs="Arial"/>
          <w:color w:val="000000"/>
        </w:rPr>
      </w:pPr>
      <w:r w:rsidRPr="0049692B">
        <w:rPr>
          <w:rFonts w:ascii="Arial" w:hAnsi="Arial" w:cs="Arial"/>
          <w:color w:val="000000" w:themeColor="text1"/>
        </w:rPr>
        <w:t xml:space="preserve">SRM (Strategic Resource Management) has helped more than 1,000 financial institutions add $3.6 billion of value to their bottom line in areas such as payments, digital transformation, core processing, artificial intelligence, and operational efficiency. SRM’s decades of experience have lowered costs, </w:t>
      </w:r>
      <w:r>
        <w:rPr>
          <w:rFonts w:ascii="Arial" w:hAnsi="Arial" w:cs="Arial"/>
          <w:color w:val="000000" w:themeColor="text1"/>
        </w:rPr>
        <w:t>grown</w:t>
      </w:r>
      <w:r w:rsidRPr="0049692B">
        <w:rPr>
          <w:rFonts w:ascii="Arial" w:hAnsi="Arial" w:cs="Arial"/>
          <w:color w:val="000000" w:themeColor="text1"/>
        </w:rPr>
        <w:t xml:space="preserve"> revenues, increased productivity, and provided a competitive edge for clients in an environment of constant and accelerating change.</w:t>
      </w:r>
      <w:r w:rsidRPr="6BE78135">
        <w:rPr>
          <w:rFonts w:ascii="Arial" w:hAnsi="Arial" w:cs="Arial"/>
          <w:color w:val="000000" w:themeColor="text1"/>
        </w:rPr>
        <w:t xml:space="preserve"> Visit </w:t>
      </w:r>
      <w:hyperlink r:id="rId11" w:history="1">
        <w:r w:rsidRPr="6BE78135">
          <w:rPr>
            <w:rStyle w:val="Hyperlink"/>
            <w:rFonts w:ascii="Arial" w:hAnsi="Arial" w:cs="Arial"/>
          </w:rPr>
          <w:t>www.srmcorp.com</w:t>
        </w:r>
      </w:hyperlink>
      <w:r w:rsidRPr="6BE78135">
        <w:rPr>
          <w:rFonts w:ascii="Arial" w:hAnsi="Arial" w:cs="Arial"/>
          <w:color w:val="000000" w:themeColor="text1"/>
        </w:rPr>
        <w:t xml:space="preserve"> for more information and follow on </w:t>
      </w:r>
      <w:hyperlink r:id="rId12" w:history="1">
        <w:r w:rsidRPr="6BE78135">
          <w:rPr>
            <w:rStyle w:val="Hyperlink"/>
            <w:rFonts w:ascii="Arial" w:hAnsi="Arial" w:cs="Arial"/>
          </w:rPr>
          <w:t>LinkedIn</w:t>
        </w:r>
      </w:hyperlink>
      <w:r w:rsidRPr="6BE78135">
        <w:rPr>
          <w:rFonts w:ascii="Arial" w:hAnsi="Arial" w:cs="Arial"/>
          <w:color w:val="000000" w:themeColor="text1"/>
        </w:rPr>
        <w:t xml:space="preserve"> and </w:t>
      </w:r>
      <w:hyperlink r:id="rId13" w:history="1">
        <w:r w:rsidRPr="6BE78135">
          <w:rPr>
            <w:rStyle w:val="Hyperlink"/>
            <w:rFonts w:ascii="Arial" w:hAnsi="Arial" w:cs="Arial"/>
          </w:rPr>
          <w:t>Twitter</w:t>
        </w:r>
      </w:hyperlink>
      <w:r w:rsidRPr="6BE78135">
        <w:rPr>
          <w:rFonts w:ascii="Arial" w:hAnsi="Arial" w:cs="Arial"/>
          <w:color w:val="000000" w:themeColor="text1"/>
        </w:rPr>
        <w:t xml:space="preserve"> for timely and relevant insights.</w:t>
      </w:r>
    </w:p>
    <w:bookmarkEnd w:id="0"/>
    <w:p w14:paraId="5351CA44" w14:textId="7F3F3D63" w:rsidR="00437802" w:rsidRPr="005A7144" w:rsidRDefault="00437802">
      <w:pPr>
        <w:rPr>
          <w:rFonts w:ascii="Arial" w:hAnsi="Arial" w:cs="Arial"/>
        </w:rPr>
      </w:pPr>
    </w:p>
    <w:sectPr w:rsidR="00437802" w:rsidRPr="005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4E1"/>
    <w:multiLevelType w:val="hybridMultilevel"/>
    <w:tmpl w:val="744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841"/>
    <w:multiLevelType w:val="hybridMultilevel"/>
    <w:tmpl w:val="C11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3BC"/>
    <w:multiLevelType w:val="hybridMultilevel"/>
    <w:tmpl w:val="0DF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72D4"/>
    <w:multiLevelType w:val="multilevel"/>
    <w:tmpl w:val="110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550878"/>
    <w:multiLevelType w:val="hybridMultilevel"/>
    <w:tmpl w:val="3DF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F137F"/>
    <w:multiLevelType w:val="hybridMultilevel"/>
    <w:tmpl w:val="B96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4674B"/>
    <w:multiLevelType w:val="hybridMultilevel"/>
    <w:tmpl w:val="6E6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01DA9"/>
    <w:multiLevelType w:val="multilevel"/>
    <w:tmpl w:val="480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NjSxNDewsDA2NDNS0lEKTi0uzszPAykwrgUAayCCOywAAAA="/>
  </w:docVars>
  <w:rsids>
    <w:rsidRoot w:val="00347270"/>
    <w:rsid w:val="00017102"/>
    <w:rsid w:val="000538FB"/>
    <w:rsid w:val="000775E8"/>
    <w:rsid w:val="0009002A"/>
    <w:rsid w:val="000A338B"/>
    <w:rsid w:val="000B2942"/>
    <w:rsid w:val="00102163"/>
    <w:rsid w:val="00107E06"/>
    <w:rsid w:val="00186595"/>
    <w:rsid w:val="00193002"/>
    <w:rsid w:val="001A60E5"/>
    <w:rsid w:val="00281CFC"/>
    <w:rsid w:val="003050EF"/>
    <w:rsid w:val="00322DD5"/>
    <w:rsid w:val="003400C1"/>
    <w:rsid w:val="00345A39"/>
    <w:rsid w:val="00347270"/>
    <w:rsid w:val="0035252E"/>
    <w:rsid w:val="00370EEC"/>
    <w:rsid w:val="00393487"/>
    <w:rsid w:val="003A6C9B"/>
    <w:rsid w:val="003D1F25"/>
    <w:rsid w:val="003E1245"/>
    <w:rsid w:val="00437802"/>
    <w:rsid w:val="0045286C"/>
    <w:rsid w:val="00461AF8"/>
    <w:rsid w:val="004757C5"/>
    <w:rsid w:val="004817B7"/>
    <w:rsid w:val="00496770"/>
    <w:rsid w:val="004C5199"/>
    <w:rsid w:val="004D563C"/>
    <w:rsid w:val="004D5F84"/>
    <w:rsid w:val="00510ABE"/>
    <w:rsid w:val="005163A8"/>
    <w:rsid w:val="005A354D"/>
    <w:rsid w:val="005A7144"/>
    <w:rsid w:val="005B78A3"/>
    <w:rsid w:val="005D5CE9"/>
    <w:rsid w:val="00615858"/>
    <w:rsid w:val="006349A4"/>
    <w:rsid w:val="006558B5"/>
    <w:rsid w:val="00670B69"/>
    <w:rsid w:val="00680B36"/>
    <w:rsid w:val="006A6509"/>
    <w:rsid w:val="006C2574"/>
    <w:rsid w:val="00715F5A"/>
    <w:rsid w:val="0073382B"/>
    <w:rsid w:val="00763485"/>
    <w:rsid w:val="007A2DE6"/>
    <w:rsid w:val="007A3787"/>
    <w:rsid w:val="007D0F79"/>
    <w:rsid w:val="007D2C6A"/>
    <w:rsid w:val="007E0960"/>
    <w:rsid w:val="00830479"/>
    <w:rsid w:val="008745A5"/>
    <w:rsid w:val="00894A77"/>
    <w:rsid w:val="00945E04"/>
    <w:rsid w:val="009618DE"/>
    <w:rsid w:val="00982563"/>
    <w:rsid w:val="009C2477"/>
    <w:rsid w:val="009F3B23"/>
    <w:rsid w:val="00A72F16"/>
    <w:rsid w:val="00AF4B1C"/>
    <w:rsid w:val="00B13D37"/>
    <w:rsid w:val="00B42E4B"/>
    <w:rsid w:val="00B474A0"/>
    <w:rsid w:val="00B554BE"/>
    <w:rsid w:val="00B75E37"/>
    <w:rsid w:val="00BA15C6"/>
    <w:rsid w:val="00BC13C4"/>
    <w:rsid w:val="00C31171"/>
    <w:rsid w:val="00C419CF"/>
    <w:rsid w:val="00CA6482"/>
    <w:rsid w:val="00D05249"/>
    <w:rsid w:val="00D67834"/>
    <w:rsid w:val="00D74378"/>
    <w:rsid w:val="00D76481"/>
    <w:rsid w:val="00D81A2F"/>
    <w:rsid w:val="00D871B0"/>
    <w:rsid w:val="00D93029"/>
    <w:rsid w:val="00DF7461"/>
    <w:rsid w:val="00E1169E"/>
    <w:rsid w:val="00E30A6C"/>
    <w:rsid w:val="00E5167A"/>
    <w:rsid w:val="00E52575"/>
    <w:rsid w:val="00E66099"/>
    <w:rsid w:val="00E92004"/>
    <w:rsid w:val="00EF2CB1"/>
    <w:rsid w:val="00F044D2"/>
    <w:rsid w:val="00F11DF9"/>
    <w:rsid w:val="00F66A98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C993"/>
  <w15:docId w15:val="{C66E769B-0624-47F2-A14F-AD3F747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79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79"/>
    <w:rPr>
      <w:rFonts w:eastAsia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775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E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E7"/>
    <w:rPr>
      <w:rFonts w:eastAsia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@williammills.com" TargetMode="External"/><Relationship Id="rId13" Type="http://schemas.openxmlformats.org/officeDocument/2006/relationships/hyperlink" Target="https://twitter.com/SRMCor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strategic-resource-management-srm-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ndougherty\Downloads\www.srmcor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pglobal.com/marketintelligence/en/news-insights/latest-news-headlines/bank-m-a-2021-deal-tracker-activity-shows-no-signs-of-relenting-in-april-62489908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ggie@williammill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5C282-4AEE-4EA5-9CBF-685CAC2AE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E74AB-CE1F-441A-93A2-606DA9A7C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AD27C-6A1C-46D6-B9C0-2E8AD9A624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Wise</dc:creator>
  <cp:keywords/>
  <dc:description/>
  <cp:lastModifiedBy>Maggie Wise</cp:lastModifiedBy>
  <cp:revision>2</cp:revision>
  <dcterms:created xsi:type="dcterms:W3CDTF">2021-07-12T13:39:00Z</dcterms:created>
  <dcterms:modified xsi:type="dcterms:W3CDTF">2021-07-12T13:39:00Z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