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F3C41" w:rsidRDefault="00091FA1">
      <w:pPr>
        <w:spacing w:after="0" w:line="240" w:lineRule="auto"/>
        <w:rPr>
          <w:rFonts w:ascii="Arial" w:eastAsia="Arial" w:hAnsi="Arial" w:cs="Arial"/>
          <w:color w:val="000000"/>
          <w:sz w:val="18"/>
          <w:szCs w:val="18"/>
        </w:rPr>
      </w:pPr>
      <w:r>
        <w:rPr>
          <w:noProof/>
        </w:rPr>
        <w:drawing>
          <wp:anchor distT="0" distB="0" distL="114300" distR="114300" simplePos="0" relativeHeight="251658240" behindDoc="0" locked="0" layoutInCell="1" hidden="0" allowOverlap="1">
            <wp:simplePos x="0" y="0"/>
            <wp:positionH relativeFrom="margin">
              <wp:posOffset>3593465</wp:posOffset>
            </wp:positionH>
            <wp:positionV relativeFrom="margin">
              <wp:posOffset>-283844</wp:posOffset>
            </wp:positionV>
            <wp:extent cx="2439035" cy="539115"/>
            <wp:effectExtent l="0" t="0" r="0" b="0"/>
            <wp:wrapSquare wrapText="bothSides" distT="0" distB="0" distL="114300" distR="114300"/>
            <wp:docPr id="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5"/>
                    <a:srcRect/>
                    <a:stretch>
                      <a:fillRect/>
                    </a:stretch>
                  </pic:blipFill>
                  <pic:spPr>
                    <a:xfrm>
                      <a:off x="0" y="0"/>
                      <a:ext cx="2439035" cy="539115"/>
                    </a:xfrm>
                    <a:prstGeom prst="rect">
                      <a:avLst/>
                    </a:prstGeom>
                    <a:ln/>
                  </pic:spPr>
                </pic:pic>
              </a:graphicData>
            </a:graphic>
          </wp:anchor>
        </w:drawing>
      </w:r>
      <w:r>
        <w:rPr>
          <w:rFonts w:ascii="Arial" w:eastAsia="Arial" w:hAnsi="Arial" w:cs="Arial"/>
          <w:b/>
          <w:color w:val="000000"/>
          <w:sz w:val="20"/>
          <w:szCs w:val="20"/>
        </w:rPr>
        <w:t>MEDIA CONTACT:</w:t>
      </w:r>
      <w:r>
        <w:rPr>
          <w:rFonts w:ascii="Arial" w:eastAsia="Arial" w:hAnsi="Arial" w:cs="Arial"/>
          <w:color w:val="000000"/>
          <w:sz w:val="18"/>
          <w:szCs w:val="18"/>
        </w:rPr>
        <w:t>  </w:t>
      </w:r>
    </w:p>
    <w:p w14:paraId="00000002" w14:textId="77777777" w:rsidR="009F3C41" w:rsidRDefault="00091FA1">
      <w:pPr>
        <w:spacing w:after="0" w:line="240" w:lineRule="auto"/>
        <w:rPr>
          <w:rFonts w:ascii="Arial" w:eastAsia="Arial" w:hAnsi="Arial" w:cs="Arial"/>
          <w:color w:val="000000"/>
          <w:sz w:val="18"/>
          <w:szCs w:val="18"/>
        </w:rPr>
      </w:pPr>
      <w:r>
        <w:rPr>
          <w:rFonts w:ascii="Arial" w:eastAsia="Arial" w:hAnsi="Arial" w:cs="Arial"/>
          <w:color w:val="000000"/>
          <w:sz w:val="20"/>
          <w:szCs w:val="20"/>
        </w:rPr>
        <w:t>Augusta </w:t>
      </w:r>
      <w:proofErr w:type="spellStart"/>
      <w:r>
        <w:rPr>
          <w:rFonts w:ascii="Arial" w:eastAsia="Arial" w:hAnsi="Arial" w:cs="Arial"/>
          <w:color w:val="000000"/>
          <w:sz w:val="20"/>
          <w:szCs w:val="20"/>
        </w:rPr>
        <w:t>Bauknight</w:t>
      </w:r>
      <w:proofErr w:type="spellEnd"/>
      <w:r>
        <w:rPr>
          <w:rFonts w:ascii="Arial" w:eastAsia="Arial" w:hAnsi="Arial" w:cs="Arial"/>
          <w:color w:val="000000"/>
          <w:sz w:val="20"/>
          <w:szCs w:val="20"/>
        </w:rPr>
        <w:t> </w:t>
      </w:r>
    </w:p>
    <w:p w14:paraId="00000003" w14:textId="77777777" w:rsidR="009F3C41" w:rsidRDefault="00091FA1">
      <w:pPr>
        <w:spacing w:after="0" w:line="240" w:lineRule="auto"/>
        <w:rPr>
          <w:rFonts w:ascii="Arial" w:eastAsia="Arial" w:hAnsi="Arial" w:cs="Arial"/>
          <w:color w:val="000000"/>
          <w:sz w:val="18"/>
          <w:szCs w:val="18"/>
        </w:rPr>
      </w:pPr>
      <w:hyperlink r:id="rId6">
        <w:r>
          <w:rPr>
            <w:rFonts w:ascii="Arial" w:eastAsia="Arial" w:hAnsi="Arial" w:cs="Arial"/>
            <w:color w:val="0000FF"/>
            <w:sz w:val="20"/>
            <w:szCs w:val="20"/>
            <w:u w:val="single"/>
          </w:rPr>
          <w:t>augusta@williammills.com</w:t>
        </w:r>
      </w:hyperlink>
      <w:r>
        <w:rPr>
          <w:rFonts w:ascii="Arial" w:eastAsia="Arial" w:hAnsi="Arial" w:cs="Arial"/>
          <w:color w:val="000000"/>
          <w:sz w:val="20"/>
          <w:szCs w:val="20"/>
        </w:rPr>
        <w:t> </w:t>
      </w:r>
    </w:p>
    <w:p w14:paraId="00000004" w14:textId="77777777" w:rsidR="009F3C41" w:rsidRDefault="00091FA1">
      <w:pPr>
        <w:spacing w:after="0" w:line="240" w:lineRule="auto"/>
        <w:rPr>
          <w:rFonts w:ascii="Arial" w:eastAsia="Arial" w:hAnsi="Arial" w:cs="Arial"/>
          <w:color w:val="000000"/>
          <w:sz w:val="18"/>
          <w:szCs w:val="18"/>
        </w:rPr>
      </w:pPr>
      <w:r>
        <w:rPr>
          <w:rFonts w:ascii="Arial" w:eastAsia="Arial" w:hAnsi="Arial" w:cs="Arial"/>
          <w:color w:val="000000"/>
          <w:sz w:val="20"/>
          <w:szCs w:val="20"/>
        </w:rPr>
        <w:t>678-781-7214 </w:t>
      </w:r>
    </w:p>
    <w:p w14:paraId="00000005" w14:textId="77777777" w:rsidR="009F3C41" w:rsidRDefault="009F3C41">
      <w:pPr>
        <w:spacing w:after="0" w:line="240" w:lineRule="auto"/>
        <w:rPr>
          <w:rFonts w:ascii="Arial" w:eastAsia="Arial" w:hAnsi="Arial" w:cs="Arial"/>
          <w:color w:val="000000"/>
          <w:sz w:val="18"/>
          <w:szCs w:val="18"/>
        </w:rPr>
      </w:pPr>
    </w:p>
    <w:p w14:paraId="00000006" w14:textId="77777777" w:rsidR="009F3C41" w:rsidRDefault="009F3C41">
      <w:pPr>
        <w:spacing w:after="0" w:line="240" w:lineRule="auto"/>
        <w:rPr>
          <w:rFonts w:ascii="Arial" w:eastAsia="Arial" w:hAnsi="Arial" w:cs="Arial"/>
          <w:b/>
        </w:rPr>
      </w:pPr>
    </w:p>
    <w:p w14:paraId="00000007" w14:textId="77777777" w:rsidR="009F3C41" w:rsidRDefault="00091FA1">
      <w:pPr>
        <w:spacing w:after="0" w:line="240" w:lineRule="auto"/>
        <w:jc w:val="center"/>
        <w:rPr>
          <w:rFonts w:ascii="Arial" w:eastAsia="Arial" w:hAnsi="Arial" w:cs="Arial"/>
          <w:b/>
          <w:sz w:val="24"/>
          <w:szCs w:val="24"/>
        </w:rPr>
      </w:pPr>
      <w:r>
        <w:rPr>
          <w:rFonts w:ascii="Arial" w:eastAsia="Arial" w:hAnsi="Arial" w:cs="Arial"/>
          <w:b/>
          <w:sz w:val="24"/>
          <w:szCs w:val="24"/>
        </w:rPr>
        <w:t>American Cycle Finance Goes Live with Scienaptic’s AI-Powered Credit Decisioning Platform</w:t>
      </w:r>
    </w:p>
    <w:p w14:paraId="00000008" w14:textId="77777777" w:rsidR="009F3C41" w:rsidRDefault="009F3C41">
      <w:pPr>
        <w:spacing w:after="0" w:line="240" w:lineRule="auto"/>
        <w:jc w:val="center"/>
        <w:rPr>
          <w:rFonts w:ascii="Arial" w:eastAsia="Arial" w:hAnsi="Arial" w:cs="Arial"/>
          <w:b/>
          <w:sz w:val="24"/>
          <w:szCs w:val="24"/>
        </w:rPr>
      </w:pPr>
    </w:p>
    <w:p w14:paraId="00000009" w14:textId="77777777" w:rsidR="009F3C41" w:rsidRDefault="00091FA1">
      <w:pPr>
        <w:spacing w:after="0" w:line="240" w:lineRule="auto"/>
        <w:jc w:val="center"/>
        <w:rPr>
          <w:rFonts w:ascii="Arial" w:eastAsia="Arial" w:hAnsi="Arial" w:cs="Arial"/>
          <w:i/>
          <w:sz w:val="20"/>
          <w:szCs w:val="20"/>
        </w:rPr>
      </w:pPr>
      <w:r>
        <w:rPr>
          <w:rFonts w:ascii="Arial" w:eastAsia="Arial" w:hAnsi="Arial" w:cs="Arial"/>
          <w:i/>
          <w:sz w:val="20"/>
          <w:szCs w:val="20"/>
        </w:rPr>
        <w:t>AI Platform empowers ACF to extend credit availability to motorcyclists with limited or no credit history</w:t>
      </w:r>
    </w:p>
    <w:p w14:paraId="0000000A" w14:textId="77777777" w:rsidR="009F3C41" w:rsidRDefault="009F3C41">
      <w:pPr>
        <w:spacing w:after="0" w:line="240" w:lineRule="auto"/>
        <w:rPr>
          <w:rFonts w:ascii="Arial" w:eastAsia="Arial" w:hAnsi="Arial" w:cs="Arial"/>
          <w:i/>
          <w:sz w:val="18"/>
          <w:szCs w:val="18"/>
        </w:rPr>
      </w:pPr>
    </w:p>
    <w:p w14:paraId="0000000B" w14:textId="6CEE93E6" w:rsidR="009F3C41" w:rsidRDefault="00091FA1">
      <w:pPr>
        <w:spacing w:after="0" w:line="240" w:lineRule="auto"/>
        <w:rPr>
          <w:rFonts w:ascii="Arial" w:eastAsia="Arial" w:hAnsi="Arial" w:cs="Arial"/>
          <w:sz w:val="20"/>
          <w:szCs w:val="20"/>
        </w:rPr>
      </w:pPr>
      <w:r>
        <w:rPr>
          <w:rFonts w:ascii="Arial" w:eastAsia="Arial" w:hAnsi="Arial" w:cs="Arial"/>
          <w:b/>
          <w:sz w:val="20"/>
          <w:szCs w:val="20"/>
        </w:rPr>
        <w:t>NEW YORK – June 12</w:t>
      </w:r>
      <w:r>
        <w:rPr>
          <w:rFonts w:ascii="Arial" w:eastAsia="Arial" w:hAnsi="Arial" w:cs="Arial"/>
          <w:b/>
          <w:sz w:val="20"/>
          <w:szCs w:val="20"/>
        </w:rPr>
        <w:t xml:space="preserve">, 2021 </w:t>
      </w:r>
      <w:r>
        <w:rPr>
          <w:rFonts w:ascii="Arial" w:eastAsia="Arial" w:hAnsi="Arial" w:cs="Arial"/>
          <w:sz w:val="20"/>
          <w:szCs w:val="20"/>
        </w:rPr>
        <w:t>–</w:t>
      </w:r>
      <w:r>
        <w:rPr>
          <w:sz w:val="20"/>
          <w:szCs w:val="20"/>
        </w:rPr>
        <w:t xml:space="preserve"> </w:t>
      </w:r>
      <w:r>
        <w:rPr>
          <w:rFonts w:ascii="Arial" w:eastAsia="Arial" w:hAnsi="Arial" w:cs="Arial"/>
          <w:sz w:val="20"/>
          <w:szCs w:val="20"/>
        </w:rPr>
        <w:t xml:space="preserve">Leading AI-powered credit decision platform provider, </w:t>
      </w:r>
      <w:hyperlink r:id="rId7">
        <w:proofErr w:type="spellStart"/>
        <w:r>
          <w:rPr>
            <w:rFonts w:ascii="Arial" w:eastAsia="Arial" w:hAnsi="Arial" w:cs="Arial"/>
            <w:color w:val="0563C1"/>
            <w:sz w:val="20"/>
            <w:szCs w:val="20"/>
            <w:u w:val="single"/>
          </w:rPr>
          <w:t>Scienaptic</w:t>
        </w:r>
        <w:proofErr w:type="spellEnd"/>
      </w:hyperlink>
      <w:r>
        <w:rPr>
          <w:rFonts w:ascii="Arial" w:eastAsia="Arial" w:hAnsi="Arial" w:cs="Arial"/>
          <w:sz w:val="20"/>
          <w:szCs w:val="20"/>
        </w:rPr>
        <w:t xml:space="preserve">, announced that </w:t>
      </w:r>
      <w:hyperlink r:id="rId8">
        <w:r>
          <w:rPr>
            <w:rFonts w:ascii="Arial" w:eastAsia="Arial" w:hAnsi="Arial" w:cs="Arial"/>
            <w:color w:val="0563C1"/>
            <w:sz w:val="20"/>
            <w:szCs w:val="20"/>
            <w:u w:val="single"/>
          </w:rPr>
          <w:t>American Cycle Finance</w:t>
        </w:r>
      </w:hyperlink>
      <w:r>
        <w:rPr>
          <w:rFonts w:ascii="Arial" w:eastAsia="Arial" w:hAnsi="Arial" w:cs="Arial"/>
          <w:sz w:val="20"/>
          <w:szCs w:val="20"/>
        </w:rPr>
        <w:t xml:space="preserve"> (ACF) has successfully deployed its platform. The imp</w:t>
      </w:r>
      <w:r>
        <w:rPr>
          <w:rFonts w:ascii="Arial" w:eastAsia="Arial" w:hAnsi="Arial" w:cs="Arial"/>
          <w:sz w:val="20"/>
          <w:szCs w:val="20"/>
        </w:rPr>
        <w:t>lementation empowers ACF to assist its partner motorcycle dealers in selling more vehicles to customers with limited or no credit history through sharper, AI-driven credit decisions.</w:t>
      </w:r>
    </w:p>
    <w:p w14:paraId="0000000C" w14:textId="77777777" w:rsidR="009F3C41" w:rsidRDefault="009F3C41">
      <w:pPr>
        <w:spacing w:after="0" w:line="240" w:lineRule="auto"/>
        <w:rPr>
          <w:rFonts w:ascii="Arial" w:eastAsia="Arial" w:hAnsi="Arial" w:cs="Arial"/>
          <w:sz w:val="20"/>
          <w:szCs w:val="20"/>
        </w:rPr>
      </w:pPr>
    </w:p>
    <w:p w14:paraId="0000000D" w14:textId="77777777" w:rsidR="009F3C41" w:rsidRDefault="00091FA1">
      <w:pPr>
        <w:spacing w:after="0" w:line="240" w:lineRule="auto"/>
        <w:rPr>
          <w:rFonts w:ascii="Arial" w:eastAsia="Arial" w:hAnsi="Arial" w:cs="Arial"/>
          <w:sz w:val="20"/>
          <w:szCs w:val="20"/>
        </w:rPr>
      </w:pPr>
      <w:r>
        <w:rPr>
          <w:rFonts w:ascii="Arial" w:eastAsia="Arial" w:hAnsi="Arial" w:cs="Arial"/>
          <w:sz w:val="20"/>
          <w:szCs w:val="20"/>
        </w:rPr>
        <w:t>With a network of more than 450 motorcycle retailers across 24 states, A</w:t>
      </w:r>
      <w:r>
        <w:rPr>
          <w:rFonts w:ascii="Arial" w:eastAsia="Arial" w:hAnsi="Arial" w:cs="Arial"/>
          <w:sz w:val="20"/>
          <w:szCs w:val="20"/>
        </w:rPr>
        <w:t>CF's program equips dealers with fast, easy application processing and loan servicing for their motorcycle sales transactions. With Scienaptic's AI-powered credit decisioning platform, ACF is positioned to offer enhanced, automated credit decisions to help</w:t>
      </w:r>
      <w:r>
        <w:rPr>
          <w:rFonts w:ascii="Arial" w:eastAsia="Arial" w:hAnsi="Arial" w:cs="Arial"/>
          <w:sz w:val="20"/>
          <w:szCs w:val="20"/>
        </w:rPr>
        <w:t xml:space="preserve"> increase credit availability for its customers.</w:t>
      </w:r>
    </w:p>
    <w:p w14:paraId="0000000E" w14:textId="77777777" w:rsidR="009F3C41" w:rsidRDefault="009F3C41">
      <w:pPr>
        <w:spacing w:after="0" w:line="240" w:lineRule="auto"/>
        <w:rPr>
          <w:rFonts w:ascii="Arial" w:eastAsia="Arial" w:hAnsi="Arial" w:cs="Arial"/>
          <w:sz w:val="20"/>
          <w:szCs w:val="20"/>
        </w:rPr>
      </w:pPr>
    </w:p>
    <w:p w14:paraId="0000000F" w14:textId="77777777" w:rsidR="009F3C41" w:rsidRDefault="00091FA1">
      <w:pPr>
        <w:spacing w:after="0" w:line="240" w:lineRule="auto"/>
        <w:rPr>
          <w:rFonts w:ascii="Arial" w:eastAsia="Arial" w:hAnsi="Arial" w:cs="Arial"/>
          <w:sz w:val="20"/>
          <w:szCs w:val="20"/>
        </w:rPr>
      </w:pPr>
      <w:r>
        <w:rPr>
          <w:rFonts w:ascii="Arial" w:eastAsia="Arial" w:hAnsi="Arial" w:cs="Arial"/>
          <w:sz w:val="20"/>
          <w:szCs w:val="20"/>
        </w:rPr>
        <w:t>“Deploying Scienaptic's AI-powered credit decisioning platform has resulted in significantly higher automation and credit approvals across portfolios. In one portfolio we are seeing 2X incremental approvals</w:t>
      </w:r>
      <w:r>
        <w:rPr>
          <w:rFonts w:ascii="Arial" w:eastAsia="Arial" w:hAnsi="Arial" w:cs="Arial"/>
          <w:sz w:val="20"/>
          <w:szCs w:val="20"/>
        </w:rPr>
        <w:t xml:space="preserve"> without any increase in risk,” said Ben Donnarumma, President of American Cycle Finance. “As we continue to use Scienaptic’s platform, we look forward to increased approvals and faster decisioning cycles for our customers.”</w:t>
      </w:r>
    </w:p>
    <w:p w14:paraId="00000010" w14:textId="77777777" w:rsidR="009F3C41" w:rsidRDefault="009F3C41">
      <w:pPr>
        <w:spacing w:after="0" w:line="240" w:lineRule="auto"/>
        <w:rPr>
          <w:rFonts w:ascii="Arial" w:eastAsia="Arial" w:hAnsi="Arial" w:cs="Arial"/>
          <w:sz w:val="20"/>
          <w:szCs w:val="20"/>
        </w:rPr>
      </w:pPr>
    </w:p>
    <w:p w14:paraId="00000011" w14:textId="77777777" w:rsidR="009F3C41" w:rsidRDefault="00091FA1">
      <w:pPr>
        <w:spacing w:after="0" w:line="240" w:lineRule="auto"/>
        <w:rPr>
          <w:rFonts w:ascii="Arial" w:eastAsia="Arial" w:hAnsi="Arial" w:cs="Arial"/>
          <w:sz w:val="20"/>
          <w:szCs w:val="20"/>
        </w:rPr>
      </w:pPr>
      <w:r>
        <w:rPr>
          <w:rFonts w:ascii="Arial" w:eastAsia="Arial" w:hAnsi="Arial" w:cs="Arial"/>
          <w:sz w:val="20"/>
          <w:szCs w:val="20"/>
        </w:rPr>
        <w:t>“ACF is enhancing the buying e</w:t>
      </w:r>
      <w:r>
        <w:rPr>
          <w:rFonts w:ascii="Arial" w:eastAsia="Arial" w:hAnsi="Arial" w:cs="Arial"/>
          <w:sz w:val="20"/>
          <w:szCs w:val="20"/>
        </w:rPr>
        <w:t xml:space="preserve">xperience by helping its partners reach more customers, overcoming existing or past credit challenges and get a second chance to finance the motorcycle of their dreams,” said Pankaj Jain, President of </w:t>
      </w:r>
      <w:proofErr w:type="spellStart"/>
      <w:r>
        <w:rPr>
          <w:rFonts w:ascii="Arial" w:eastAsia="Arial" w:hAnsi="Arial" w:cs="Arial"/>
          <w:sz w:val="20"/>
          <w:szCs w:val="20"/>
        </w:rPr>
        <w:t>Scienaptic</w:t>
      </w:r>
      <w:proofErr w:type="spellEnd"/>
      <w:r>
        <w:rPr>
          <w:rFonts w:ascii="Arial" w:eastAsia="Arial" w:hAnsi="Arial" w:cs="Arial"/>
          <w:sz w:val="20"/>
          <w:szCs w:val="20"/>
        </w:rPr>
        <w:t>. “With Scienaptic’s AI-powered credit decisi</w:t>
      </w:r>
      <w:r>
        <w:rPr>
          <w:rFonts w:ascii="Arial" w:eastAsia="Arial" w:hAnsi="Arial" w:cs="Arial"/>
          <w:sz w:val="20"/>
          <w:szCs w:val="20"/>
        </w:rPr>
        <w:t>oning platform, ACF can offer more credit approvals to customers who previously experienced credit turndowns or declines, despite their credit score. We are pleased to help ACF get more motorcycle enthusiasts on the road.”</w:t>
      </w:r>
    </w:p>
    <w:p w14:paraId="00000012" w14:textId="77777777" w:rsidR="009F3C41" w:rsidRDefault="009F3C41">
      <w:pPr>
        <w:spacing w:after="0" w:line="240" w:lineRule="auto"/>
        <w:rPr>
          <w:rFonts w:ascii="Arial" w:eastAsia="Arial" w:hAnsi="Arial" w:cs="Arial"/>
          <w:sz w:val="20"/>
          <w:szCs w:val="20"/>
        </w:rPr>
      </w:pPr>
    </w:p>
    <w:p w14:paraId="00000013" w14:textId="77777777" w:rsidR="009F3C41" w:rsidRDefault="00091FA1">
      <w:pPr>
        <w:spacing w:after="0" w:line="240" w:lineRule="auto"/>
        <w:rPr>
          <w:rFonts w:ascii="Arial" w:eastAsia="Arial" w:hAnsi="Arial" w:cs="Arial"/>
          <w:b/>
          <w:sz w:val="20"/>
          <w:szCs w:val="20"/>
        </w:rPr>
      </w:pPr>
      <w:r>
        <w:rPr>
          <w:rFonts w:ascii="Arial" w:eastAsia="Arial" w:hAnsi="Arial" w:cs="Arial"/>
          <w:b/>
          <w:sz w:val="20"/>
          <w:szCs w:val="20"/>
        </w:rPr>
        <w:t xml:space="preserve">About American Cycle Finance </w:t>
      </w:r>
    </w:p>
    <w:p w14:paraId="00000014" w14:textId="77777777" w:rsidR="009F3C41" w:rsidRDefault="00091FA1">
      <w:pPr>
        <w:spacing w:after="0" w:line="240" w:lineRule="auto"/>
        <w:rPr>
          <w:rFonts w:ascii="Arial" w:eastAsia="Arial" w:hAnsi="Arial" w:cs="Arial"/>
          <w:sz w:val="20"/>
          <w:szCs w:val="20"/>
        </w:rPr>
      </w:pPr>
      <w:r>
        <w:rPr>
          <w:rFonts w:ascii="Arial" w:eastAsia="Arial" w:hAnsi="Arial" w:cs="Arial"/>
          <w:sz w:val="20"/>
          <w:szCs w:val="20"/>
        </w:rPr>
        <w:t>AC</w:t>
      </w:r>
      <w:r>
        <w:rPr>
          <w:rFonts w:ascii="Arial" w:eastAsia="Arial" w:hAnsi="Arial" w:cs="Arial"/>
          <w:sz w:val="20"/>
          <w:szCs w:val="20"/>
        </w:rPr>
        <w:t>F is partnered with more than 450 motorcycle retailers in 24 states. The ACF program offers dealers the chance to assist consumers with current or past credit challenges, giving them the opportunity to re-establish credit and get a second chance to finance</w:t>
      </w:r>
      <w:r>
        <w:rPr>
          <w:rFonts w:ascii="Arial" w:eastAsia="Arial" w:hAnsi="Arial" w:cs="Arial"/>
          <w:sz w:val="20"/>
          <w:szCs w:val="20"/>
        </w:rPr>
        <w:t xml:space="preserve"> a motorcycle. ACF reports payment activity on all consumer accounts to a major credit bureau, enabling many borrowers with deficient or challenged credit to improve their credit scores and qualify for other forms of credit and loans. To know more, visit </w:t>
      </w:r>
      <w:hyperlink r:id="rId9">
        <w:r>
          <w:rPr>
            <w:rFonts w:ascii="Arial" w:eastAsia="Arial" w:hAnsi="Arial" w:cs="Arial"/>
            <w:color w:val="0563C1"/>
            <w:sz w:val="20"/>
            <w:szCs w:val="20"/>
            <w:u w:val="single"/>
          </w:rPr>
          <w:t>https://americancyclefinance.com/</w:t>
        </w:r>
      </w:hyperlink>
      <w:r>
        <w:rPr>
          <w:rFonts w:ascii="Arial" w:eastAsia="Arial" w:hAnsi="Arial" w:cs="Arial"/>
          <w:sz w:val="20"/>
          <w:szCs w:val="20"/>
        </w:rPr>
        <w:t xml:space="preserve">. </w:t>
      </w:r>
    </w:p>
    <w:p w14:paraId="00000015" w14:textId="77777777" w:rsidR="009F3C41" w:rsidRDefault="009F3C41">
      <w:pPr>
        <w:spacing w:after="0" w:line="240" w:lineRule="auto"/>
        <w:rPr>
          <w:rFonts w:ascii="Arial" w:eastAsia="Arial" w:hAnsi="Arial" w:cs="Arial"/>
          <w:sz w:val="20"/>
          <w:szCs w:val="20"/>
        </w:rPr>
      </w:pPr>
    </w:p>
    <w:p w14:paraId="00000016" w14:textId="77777777" w:rsidR="009F3C41" w:rsidRDefault="00091FA1">
      <w:pPr>
        <w:spacing w:after="0" w:line="240" w:lineRule="auto"/>
        <w:rPr>
          <w:rFonts w:ascii="Arial" w:eastAsia="Arial" w:hAnsi="Arial" w:cs="Arial"/>
          <w:b/>
          <w:sz w:val="20"/>
          <w:szCs w:val="20"/>
        </w:rPr>
      </w:pPr>
      <w:r>
        <w:rPr>
          <w:rFonts w:ascii="Arial" w:eastAsia="Arial" w:hAnsi="Arial" w:cs="Arial"/>
          <w:b/>
          <w:sz w:val="20"/>
          <w:szCs w:val="20"/>
        </w:rPr>
        <w:t xml:space="preserve">About </w:t>
      </w:r>
      <w:proofErr w:type="spellStart"/>
      <w:r>
        <w:rPr>
          <w:rFonts w:ascii="Arial" w:eastAsia="Arial" w:hAnsi="Arial" w:cs="Arial"/>
          <w:b/>
          <w:sz w:val="20"/>
          <w:szCs w:val="20"/>
        </w:rPr>
        <w:t>Scienaptic</w:t>
      </w:r>
      <w:proofErr w:type="spellEnd"/>
      <w:r>
        <w:rPr>
          <w:rFonts w:ascii="Arial" w:eastAsia="Arial" w:hAnsi="Arial" w:cs="Arial"/>
          <w:b/>
          <w:sz w:val="20"/>
          <w:szCs w:val="20"/>
        </w:rPr>
        <w:t xml:space="preserve"> </w:t>
      </w:r>
    </w:p>
    <w:p w14:paraId="00000017" w14:textId="77777777" w:rsidR="009F3C41" w:rsidRDefault="00091FA1">
      <w:pPr>
        <w:spacing w:after="0" w:line="240" w:lineRule="auto"/>
        <w:rPr>
          <w:rFonts w:ascii="Arial" w:eastAsia="Arial" w:hAnsi="Arial" w:cs="Arial"/>
          <w:sz w:val="20"/>
          <w:szCs w:val="20"/>
        </w:rPr>
      </w:pPr>
      <w:proofErr w:type="spellStart"/>
      <w:r>
        <w:rPr>
          <w:rFonts w:ascii="Arial" w:eastAsia="Arial" w:hAnsi="Arial" w:cs="Arial"/>
          <w:sz w:val="20"/>
          <w:szCs w:val="20"/>
        </w:rPr>
        <w:t>Scienaptic</w:t>
      </w:r>
      <w:proofErr w:type="spellEnd"/>
      <w:r>
        <w:rPr>
          <w:rFonts w:ascii="Arial" w:eastAsia="Arial" w:hAnsi="Arial" w:cs="Arial"/>
          <w:sz w:val="20"/>
          <w:szCs w:val="20"/>
        </w:rPr>
        <w:t xml:space="preserve"> is on a mission to increase credit availability by transforming technology used in credit decisioning. Over 150 years of credit experience</w:t>
      </w:r>
      <w:r>
        <w:rPr>
          <w:rFonts w:ascii="Arial" w:eastAsia="Arial" w:hAnsi="Arial" w:cs="Arial"/>
          <w:sz w:val="20"/>
          <w:szCs w:val="20"/>
        </w:rPr>
        <w:t xml:space="preserve"> is embedded in Scienaptic's AI native credit decision platform. Our clients across banks, credit unions, fintech, and other lenders use the platform to constantly improve the quality of underwriting decisions. This enables them to say ‘yes’ to borrowers m</w:t>
      </w:r>
      <w:r>
        <w:rPr>
          <w:rFonts w:ascii="Arial" w:eastAsia="Arial" w:hAnsi="Arial" w:cs="Arial"/>
          <w:sz w:val="20"/>
          <w:szCs w:val="20"/>
        </w:rPr>
        <w:t xml:space="preserve">ore often and faster. For more information, visit </w:t>
      </w:r>
      <w:hyperlink r:id="rId10">
        <w:r>
          <w:rPr>
            <w:rFonts w:ascii="Arial" w:eastAsia="Arial" w:hAnsi="Arial" w:cs="Arial"/>
            <w:color w:val="0563C1"/>
            <w:sz w:val="20"/>
            <w:szCs w:val="20"/>
            <w:u w:val="single"/>
          </w:rPr>
          <w:t>www.scienaptic.ai</w:t>
        </w:r>
      </w:hyperlink>
      <w:r>
        <w:rPr>
          <w:rFonts w:ascii="Arial" w:eastAsia="Arial" w:hAnsi="Arial" w:cs="Arial"/>
          <w:sz w:val="20"/>
          <w:szCs w:val="20"/>
        </w:rPr>
        <w:t xml:space="preserve">. </w:t>
      </w:r>
    </w:p>
    <w:p w14:paraId="00000018" w14:textId="77777777" w:rsidR="009F3C41" w:rsidRDefault="009F3C41">
      <w:pPr>
        <w:spacing w:after="0" w:line="240" w:lineRule="auto"/>
        <w:rPr>
          <w:rFonts w:ascii="Arial" w:eastAsia="Arial" w:hAnsi="Arial" w:cs="Arial"/>
          <w:sz w:val="20"/>
          <w:szCs w:val="20"/>
        </w:rPr>
      </w:pPr>
    </w:p>
    <w:p w14:paraId="00000019" w14:textId="77777777" w:rsidR="009F3C41" w:rsidRDefault="009F3C41">
      <w:pPr>
        <w:spacing w:after="0" w:line="240" w:lineRule="auto"/>
        <w:rPr>
          <w:rFonts w:ascii="Arial" w:eastAsia="Arial" w:hAnsi="Arial" w:cs="Arial"/>
          <w:sz w:val="20"/>
          <w:szCs w:val="20"/>
        </w:rPr>
      </w:pPr>
    </w:p>
    <w:p w14:paraId="0000001A" w14:textId="77777777" w:rsidR="009F3C41" w:rsidRDefault="00091FA1">
      <w:pPr>
        <w:spacing w:after="0" w:line="240" w:lineRule="auto"/>
        <w:jc w:val="center"/>
        <w:rPr>
          <w:rFonts w:ascii="Arial" w:eastAsia="Arial" w:hAnsi="Arial" w:cs="Arial"/>
          <w:sz w:val="20"/>
          <w:szCs w:val="20"/>
        </w:rPr>
      </w:pPr>
      <w:r>
        <w:rPr>
          <w:rFonts w:ascii="Arial" w:eastAsia="Arial" w:hAnsi="Arial" w:cs="Arial"/>
          <w:sz w:val="20"/>
          <w:szCs w:val="20"/>
        </w:rPr>
        <w:t>###</w:t>
      </w:r>
    </w:p>
    <w:p w14:paraId="0000001B" w14:textId="77777777" w:rsidR="009F3C41" w:rsidRDefault="009F3C41"/>
    <w:sectPr w:rsidR="009F3C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41"/>
    <w:rsid w:val="00091FA1"/>
    <w:rsid w:val="009F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74F76"/>
  <w15:docId w15:val="{BDF885EA-EA34-A14E-BFEC-5A28466D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46400"/>
    <w:rPr>
      <w:color w:val="0563C1" w:themeColor="hyperlink"/>
      <w:u w:val="single"/>
    </w:rPr>
  </w:style>
  <w:style w:type="paragraph" w:styleId="CommentText">
    <w:name w:val="annotation text"/>
    <w:basedOn w:val="Normal"/>
    <w:link w:val="CommentTextChar"/>
    <w:uiPriority w:val="99"/>
    <w:semiHidden/>
    <w:unhideWhenUsed/>
    <w:rsid w:val="00846400"/>
    <w:pPr>
      <w:spacing w:line="240" w:lineRule="auto"/>
    </w:pPr>
    <w:rPr>
      <w:sz w:val="20"/>
      <w:szCs w:val="20"/>
    </w:rPr>
  </w:style>
  <w:style w:type="character" w:customStyle="1" w:styleId="CommentTextChar">
    <w:name w:val="Comment Text Char"/>
    <w:basedOn w:val="DefaultParagraphFont"/>
    <w:link w:val="CommentText"/>
    <w:uiPriority w:val="99"/>
    <w:semiHidden/>
    <w:rsid w:val="00846400"/>
    <w:rPr>
      <w:rFonts w:ascii="Calibri" w:eastAsia="Calibri" w:hAnsi="Calibri" w:cs="Calibri"/>
      <w:sz w:val="20"/>
      <w:szCs w:val="20"/>
    </w:rPr>
  </w:style>
  <w:style w:type="character" w:styleId="CommentReference">
    <w:name w:val="annotation reference"/>
    <w:basedOn w:val="DefaultParagraphFont"/>
    <w:uiPriority w:val="99"/>
    <w:semiHidden/>
    <w:unhideWhenUsed/>
    <w:rsid w:val="00846400"/>
    <w:rPr>
      <w:sz w:val="16"/>
      <w:szCs w:val="16"/>
    </w:rPr>
  </w:style>
  <w:style w:type="character" w:styleId="FollowedHyperlink">
    <w:name w:val="FollowedHyperlink"/>
    <w:basedOn w:val="DefaultParagraphFont"/>
    <w:uiPriority w:val="99"/>
    <w:semiHidden/>
    <w:unhideWhenUsed/>
    <w:rsid w:val="000A530D"/>
    <w:rPr>
      <w:color w:val="954F72" w:themeColor="followedHyperlink"/>
      <w:u w:val="single"/>
    </w:rPr>
  </w:style>
  <w:style w:type="character" w:styleId="UnresolvedMention">
    <w:name w:val="Unresolved Mention"/>
    <w:basedOn w:val="DefaultParagraphFont"/>
    <w:uiPriority w:val="99"/>
    <w:semiHidden/>
    <w:unhideWhenUsed/>
    <w:rsid w:val="000A53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A233C"/>
    <w:rPr>
      <w:b/>
      <w:bCs/>
    </w:rPr>
  </w:style>
  <w:style w:type="character" w:customStyle="1" w:styleId="CommentSubjectChar">
    <w:name w:val="Comment Subject Char"/>
    <w:basedOn w:val="CommentTextChar"/>
    <w:link w:val="CommentSubject"/>
    <w:uiPriority w:val="99"/>
    <w:semiHidden/>
    <w:rsid w:val="00CA233C"/>
    <w:rPr>
      <w:rFonts w:ascii="Calibri" w:eastAsia="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mericancyclefinanc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cienaptic.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ugusta@williammills.com"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hyperlink" Target="http://www.scienaptic.ai" TargetMode="External"/><Relationship Id="rId4" Type="http://schemas.openxmlformats.org/officeDocument/2006/relationships/webSettings" Target="webSettings.xml"/><Relationship Id="rId9" Type="http://schemas.openxmlformats.org/officeDocument/2006/relationships/hyperlink" Target="https://americancyclefinance.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o6s/rj+uWLwcKBWQ1d4tRaO1wQ==">AMUW2mWkxEzAyJi2VEpPNpEt5zkQVXpjFVlRowQQ9okgeD8k81r7h9wPH++JrsoiFqhA1fI8eb0s2qGhROMOARqPfszCf5WWTopWzUqu9B6BlXtp/Xj2JVTHnrw6zT66ocpAwsB/+SIGjUXCy9DzU1geXJACH8vQtXZgIopzHXz9EslXOafW0lQ7KUuO16szXi/KWI07Zblcgbv3E1c3L2Fa6AjrDZNHMJw/nZcPvC9VYBNYWhuCCjy4FFEFkw95Un0svdjW1ryEF+vEYLIUVzrZErqFY316JGM5O0SAtQp/RxfZ4rGuYh3jFdQ3taXxGm5pKdLxAW7wdThd1vhGG5+RlOKHdSyi65r35M64AqbliaPlO90gA6EftcTWR6A7JuQ9ttx4c6K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99cb082388fbffedb223a7898dc9395b">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282ad640516b7a97efcf53345c74fc0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0FDB83-AF3C-44BB-BE9D-34EBED1BE0B8}"/>
</file>

<file path=customXml/itemProps3.xml><?xml version="1.0" encoding="utf-8"?>
<ds:datastoreItem xmlns:ds="http://schemas.openxmlformats.org/officeDocument/2006/customXml" ds:itemID="{5CF13588-C479-4F8A-BC87-B37A4C7FE2FE}"/>
</file>

<file path=customXml/itemProps4.xml><?xml version="1.0" encoding="utf-8"?>
<ds:datastoreItem xmlns:ds="http://schemas.openxmlformats.org/officeDocument/2006/customXml" ds:itemID="{014CF24E-2DA0-4F78-806B-9397B83D3585}"/>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King</dc:creator>
  <cp:lastModifiedBy>Augusta Bauknight</cp:lastModifiedBy>
  <cp:revision>2</cp:revision>
  <dcterms:created xsi:type="dcterms:W3CDTF">2021-07-09T16:14:00Z</dcterms:created>
  <dcterms:modified xsi:type="dcterms:W3CDTF">2021-07-09T16:14:00Z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