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F90572" w14:textId="621E37A1" w:rsidR="00AF3C58" w:rsidRDefault="00AF3C58" w:rsidP="00417B6C">
      <w:pPr>
        <w:pStyle w:val="Heading4"/>
        <w:rPr>
          <w:rFonts w:ascii="Verdana" w:hAnsi="Verdana"/>
          <w:color w:val="000000" w:themeColor="text1"/>
          <w:sz w:val="21"/>
        </w:rPr>
      </w:pPr>
      <w:r>
        <w:rPr>
          <w:rFonts w:ascii="Verdana" w:eastAsia="Calibri" w:hAnsi="Verdana" w:cs="Calibri"/>
          <w:iCs/>
          <w:color w:val="000000" w:themeColor="text1"/>
          <w:sz w:val="36"/>
          <w:szCs w:val="36"/>
        </w:rPr>
        <w:t>T</w:t>
      </w:r>
      <w:r w:rsidR="00C96084">
        <w:rPr>
          <w:rFonts w:ascii="Verdana" w:eastAsia="Calibri" w:hAnsi="Verdana" w:cs="Calibri"/>
          <w:iCs/>
          <w:color w:val="000000" w:themeColor="text1"/>
          <w:sz w:val="36"/>
          <w:szCs w:val="36"/>
        </w:rPr>
        <w:t>rust for Credit Unions’ Bond Portfolios Hit 100 Investor Milestone</w:t>
      </w:r>
    </w:p>
    <w:p w14:paraId="6EEDEEA0" w14:textId="7D7375C5" w:rsidR="00B8720A" w:rsidRPr="00B8720A" w:rsidRDefault="00B8720A" w:rsidP="00417B6C">
      <w:pPr>
        <w:pStyle w:val="Heading4"/>
        <w:rPr>
          <w:rFonts w:ascii="Verdana" w:hAnsi="Verdana"/>
          <w:color w:val="000000" w:themeColor="text1"/>
          <w:sz w:val="21"/>
          <w:szCs w:val="21"/>
        </w:rPr>
      </w:pPr>
      <w:r w:rsidRPr="00B8720A">
        <w:rPr>
          <w:rFonts w:ascii="Verdana" w:hAnsi="Verdana"/>
          <w:color w:val="000000" w:themeColor="text1"/>
          <w:sz w:val="21"/>
          <w:szCs w:val="21"/>
        </w:rPr>
        <w:br/>
      </w:r>
      <w:r w:rsidRPr="00B8720A">
        <w:rPr>
          <w:rFonts w:ascii="Verdana" w:hAnsi="Verdana"/>
          <w:color w:val="000000" w:themeColor="text1"/>
          <w:sz w:val="21"/>
        </w:rPr>
        <w:t>For Immediate Release:</w:t>
      </w:r>
      <w:r w:rsidRPr="00B8720A">
        <w:rPr>
          <w:rFonts w:ascii="Verdana" w:hAnsi="Verdana"/>
          <w:color w:val="000000" w:themeColor="text1"/>
          <w:sz w:val="21"/>
          <w:szCs w:val="21"/>
        </w:rPr>
        <w:t xml:space="preserve">  </w:t>
      </w:r>
      <w:r w:rsidR="00305E4E">
        <w:rPr>
          <w:rFonts w:ascii="Verdana" w:hAnsi="Verdana"/>
          <w:color w:val="000000" w:themeColor="text1"/>
          <w:sz w:val="21"/>
          <w:szCs w:val="21"/>
        </w:rPr>
        <w:t xml:space="preserve">June </w:t>
      </w:r>
      <w:r w:rsidR="0078574E">
        <w:rPr>
          <w:rFonts w:ascii="Verdana" w:hAnsi="Verdana"/>
          <w:color w:val="000000" w:themeColor="text1"/>
          <w:sz w:val="21"/>
          <w:szCs w:val="21"/>
        </w:rPr>
        <w:t>3</w:t>
      </w:r>
      <w:r w:rsidR="000C1C85" w:rsidRPr="00305E4E">
        <w:rPr>
          <w:rFonts w:ascii="Verdana" w:hAnsi="Verdana"/>
          <w:color w:val="000000" w:themeColor="text1"/>
          <w:sz w:val="21"/>
          <w:szCs w:val="21"/>
        </w:rPr>
        <w:t>,</w:t>
      </w:r>
      <w:r w:rsidR="000C1C85">
        <w:rPr>
          <w:rFonts w:ascii="Verdana" w:hAnsi="Verdana"/>
          <w:color w:val="000000" w:themeColor="text1"/>
          <w:sz w:val="21"/>
          <w:szCs w:val="21"/>
        </w:rPr>
        <w:t xml:space="preserve"> 2021</w:t>
      </w:r>
      <w:r w:rsidRPr="00B8720A">
        <w:rPr>
          <w:rFonts w:ascii="Verdana" w:hAnsi="Verdana"/>
          <w:color w:val="000000" w:themeColor="text1"/>
          <w:sz w:val="21"/>
          <w:szCs w:val="21"/>
        </w:rPr>
        <w:br/>
      </w:r>
      <w:r w:rsidRPr="00B8720A">
        <w:rPr>
          <w:rFonts w:ascii="Verdana" w:hAnsi="Verdana"/>
          <w:color w:val="000000" w:themeColor="text1"/>
          <w:sz w:val="21"/>
        </w:rPr>
        <w:t xml:space="preserve">Contact: </w:t>
      </w:r>
      <w:r w:rsidR="0099046F">
        <w:rPr>
          <w:rFonts w:ascii="Verdana" w:hAnsi="Verdana"/>
          <w:color w:val="000000" w:themeColor="text1"/>
          <w:sz w:val="21"/>
          <w:szCs w:val="21"/>
        </w:rPr>
        <w:t>Sharon Simpson</w:t>
      </w:r>
      <w:r w:rsidRPr="00B8720A">
        <w:rPr>
          <w:rFonts w:ascii="Verdana" w:hAnsi="Verdana"/>
          <w:color w:val="000000" w:themeColor="text1"/>
          <w:sz w:val="21"/>
          <w:szCs w:val="21"/>
        </w:rPr>
        <w:t xml:space="preserve">, (202) 223-3920 or </w:t>
      </w:r>
      <w:hyperlink r:id="rId6" w:history="1">
        <w:r w:rsidR="0099046F" w:rsidRPr="00337034">
          <w:rPr>
            <w:rStyle w:val="Hyperlink"/>
            <w:rFonts w:ascii="Verdana" w:hAnsi="Verdana"/>
            <w:sz w:val="21"/>
            <w:szCs w:val="21"/>
          </w:rPr>
          <w:t>ssimpson@callahan.com</w:t>
        </w:r>
      </w:hyperlink>
      <w:r w:rsidRPr="00B8720A">
        <w:rPr>
          <w:rFonts w:ascii="Verdana" w:hAnsi="Verdana"/>
          <w:color w:val="000000" w:themeColor="text1"/>
          <w:sz w:val="21"/>
          <w:szCs w:val="21"/>
        </w:rPr>
        <w:br/>
      </w:r>
    </w:p>
    <w:p w14:paraId="7FF9AD01" w14:textId="49B06B4C" w:rsidR="00C96084" w:rsidRDefault="00B8720A" w:rsidP="001942F5">
      <w:pPr>
        <w:spacing w:after="0" w:line="360" w:lineRule="auto"/>
        <w:rPr>
          <w:rFonts w:eastAsia="Times New Roman" w:cs="Arial"/>
          <w:color w:val="000000" w:themeColor="text1"/>
          <w:sz w:val="21"/>
          <w:szCs w:val="21"/>
        </w:rPr>
      </w:pPr>
      <w:r w:rsidRPr="00B8720A">
        <w:rPr>
          <w:rFonts w:eastAsia="Times New Roman" w:cs="Arial"/>
          <w:b/>
          <w:color w:val="000000" w:themeColor="text1"/>
          <w:sz w:val="21"/>
          <w:szCs w:val="21"/>
        </w:rPr>
        <w:t>Washington, D.C.</w:t>
      </w:r>
      <w:r w:rsidR="005A0EB6">
        <w:rPr>
          <w:rFonts w:eastAsia="Times New Roman" w:cs="Arial"/>
          <w:color w:val="000000" w:themeColor="text1"/>
          <w:sz w:val="21"/>
          <w:szCs w:val="21"/>
        </w:rPr>
        <w:t xml:space="preserve"> – </w:t>
      </w:r>
      <w:r w:rsidR="00824C49">
        <w:rPr>
          <w:rFonts w:eastAsia="Times New Roman" w:cs="Arial"/>
          <w:color w:val="000000" w:themeColor="text1"/>
          <w:sz w:val="21"/>
          <w:szCs w:val="21"/>
        </w:rPr>
        <w:t>The</w:t>
      </w:r>
      <w:r w:rsidR="000141D8" w:rsidRPr="000141D8">
        <w:rPr>
          <w:rFonts w:eastAsia="Times New Roman" w:cs="Arial"/>
          <w:color w:val="000000" w:themeColor="text1"/>
          <w:sz w:val="21"/>
          <w:szCs w:val="21"/>
        </w:rPr>
        <w:t xml:space="preserve"> Trust for Credit Unions (TCU), the largest mutual fund family created for and by credit unions</w:t>
      </w:r>
      <w:r w:rsidR="002A379D">
        <w:rPr>
          <w:rFonts w:eastAsia="Times New Roman" w:cs="Arial"/>
          <w:color w:val="000000" w:themeColor="text1"/>
          <w:sz w:val="21"/>
          <w:szCs w:val="21"/>
        </w:rPr>
        <w:t>,</w:t>
      </w:r>
      <w:r w:rsidR="004C62AB">
        <w:rPr>
          <w:rFonts w:eastAsia="Times New Roman" w:cs="Arial"/>
          <w:color w:val="000000" w:themeColor="text1"/>
          <w:sz w:val="21"/>
          <w:szCs w:val="21"/>
        </w:rPr>
        <w:t xml:space="preserve"> </w:t>
      </w:r>
      <w:r w:rsidR="00824C49">
        <w:rPr>
          <w:rFonts w:eastAsia="Times New Roman" w:cs="Arial"/>
          <w:color w:val="000000" w:themeColor="text1"/>
          <w:sz w:val="21"/>
          <w:szCs w:val="21"/>
        </w:rPr>
        <w:t xml:space="preserve">has </w:t>
      </w:r>
      <w:r w:rsidR="00C96084">
        <w:rPr>
          <w:rFonts w:eastAsia="Times New Roman" w:cs="Arial"/>
          <w:color w:val="000000" w:themeColor="text1"/>
          <w:sz w:val="21"/>
          <w:szCs w:val="21"/>
        </w:rPr>
        <w:t>opened a record number of new accounts in its two bo</w:t>
      </w:r>
      <w:r w:rsidR="00C90E97">
        <w:rPr>
          <w:rFonts w:eastAsia="Times New Roman" w:cs="Arial"/>
          <w:color w:val="000000" w:themeColor="text1"/>
          <w:sz w:val="21"/>
          <w:szCs w:val="21"/>
        </w:rPr>
        <w:t>n</w:t>
      </w:r>
      <w:r w:rsidR="00C96084">
        <w:rPr>
          <w:rFonts w:eastAsia="Times New Roman" w:cs="Arial"/>
          <w:color w:val="000000" w:themeColor="text1"/>
          <w:sz w:val="21"/>
          <w:szCs w:val="21"/>
        </w:rPr>
        <w:t>d portfolios over the past year and recently exceeded 100 institutional investors.</w:t>
      </w:r>
      <w:r w:rsidR="00C90E97">
        <w:rPr>
          <w:rFonts w:eastAsia="Times New Roman" w:cs="Arial"/>
          <w:color w:val="000000" w:themeColor="text1"/>
          <w:sz w:val="21"/>
          <w:szCs w:val="21"/>
        </w:rPr>
        <w:t xml:space="preserve"> Total assets under management remain above $5 billion, an all-time record.</w:t>
      </w:r>
    </w:p>
    <w:p w14:paraId="492F26C6" w14:textId="77777777" w:rsidR="000141D8" w:rsidRPr="000141D8" w:rsidRDefault="000141D8" w:rsidP="000141D8">
      <w:pPr>
        <w:spacing w:after="0" w:line="360" w:lineRule="auto"/>
        <w:rPr>
          <w:rFonts w:eastAsia="Times New Roman" w:cs="Arial"/>
          <w:color w:val="000000" w:themeColor="text1"/>
          <w:sz w:val="21"/>
          <w:szCs w:val="21"/>
        </w:rPr>
      </w:pPr>
    </w:p>
    <w:p w14:paraId="0D8B0FAE" w14:textId="2C5A9DF4" w:rsidR="00123137" w:rsidRDefault="005A2FC0" w:rsidP="00C96084">
      <w:pPr>
        <w:spacing w:after="0" w:line="360" w:lineRule="auto"/>
        <w:rPr>
          <w:rFonts w:eastAsia="Times New Roman" w:cs="Arial"/>
          <w:color w:val="000000" w:themeColor="text1"/>
          <w:sz w:val="21"/>
          <w:szCs w:val="21"/>
        </w:rPr>
      </w:pPr>
      <w:r>
        <w:rPr>
          <w:rFonts w:eastAsia="Times New Roman" w:cs="Arial"/>
          <w:color w:val="000000" w:themeColor="text1"/>
          <w:sz w:val="21"/>
          <w:szCs w:val="21"/>
        </w:rPr>
        <w:t>TCU was founded</w:t>
      </w:r>
      <w:r w:rsidR="001942F5">
        <w:rPr>
          <w:rFonts w:eastAsia="Times New Roman" w:cs="Arial"/>
          <w:color w:val="000000" w:themeColor="text1"/>
          <w:sz w:val="21"/>
          <w:szCs w:val="21"/>
        </w:rPr>
        <w:t xml:space="preserve"> </w:t>
      </w:r>
      <w:r>
        <w:rPr>
          <w:rFonts w:eastAsia="Times New Roman" w:cs="Arial"/>
          <w:color w:val="000000" w:themeColor="text1"/>
          <w:sz w:val="21"/>
          <w:szCs w:val="21"/>
        </w:rPr>
        <w:t>to provide competitive investment alternatives for credit unions</w:t>
      </w:r>
      <w:r w:rsidRPr="005A2FC0">
        <w:rPr>
          <w:rFonts w:eastAsia="Times New Roman" w:cs="Arial"/>
          <w:color w:val="000000" w:themeColor="text1"/>
          <w:sz w:val="21"/>
          <w:szCs w:val="21"/>
        </w:rPr>
        <w:t>.</w:t>
      </w:r>
      <w:r>
        <w:rPr>
          <w:rFonts w:eastAsia="Times New Roman" w:cs="Arial"/>
          <w:color w:val="000000" w:themeColor="text1"/>
          <w:sz w:val="21"/>
          <w:szCs w:val="21"/>
        </w:rPr>
        <w:t xml:space="preserve"> </w:t>
      </w:r>
      <w:r w:rsidR="00123137" w:rsidRPr="00EE090D">
        <w:rPr>
          <w:rFonts w:eastAsia="Times New Roman" w:cs="Arial"/>
          <w:color w:val="000000" w:themeColor="text1"/>
          <w:sz w:val="21"/>
          <w:szCs w:val="21"/>
        </w:rPr>
        <w:t xml:space="preserve">The </w:t>
      </w:r>
      <w:r w:rsidR="00BE59B5" w:rsidRPr="00EE090D">
        <w:rPr>
          <w:rFonts w:eastAsia="Times New Roman" w:cs="Arial"/>
          <w:color w:val="000000" w:themeColor="text1"/>
          <w:sz w:val="21"/>
          <w:szCs w:val="21"/>
        </w:rPr>
        <w:t xml:space="preserve">TCU </w:t>
      </w:r>
      <w:r w:rsidR="0075490D">
        <w:rPr>
          <w:rFonts w:eastAsia="Times New Roman" w:cs="Arial"/>
          <w:color w:val="000000" w:themeColor="text1"/>
          <w:sz w:val="21"/>
          <w:szCs w:val="21"/>
        </w:rPr>
        <w:t>Ultr</w:t>
      </w:r>
      <w:r w:rsidR="0075490D" w:rsidRPr="00305E4E">
        <w:rPr>
          <w:rFonts w:eastAsia="Times New Roman" w:cs="Arial"/>
          <w:color w:val="000000" w:themeColor="text1"/>
          <w:sz w:val="21"/>
          <w:szCs w:val="21"/>
        </w:rPr>
        <w:t xml:space="preserve">a-Short </w:t>
      </w:r>
      <w:r w:rsidR="00BE59B5" w:rsidRPr="00305E4E">
        <w:rPr>
          <w:rFonts w:eastAsia="Times New Roman" w:cs="Arial"/>
          <w:color w:val="000000" w:themeColor="text1"/>
          <w:sz w:val="21"/>
          <w:szCs w:val="21"/>
        </w:rPr>
        <w:t xml:space="preserve">Duration Portfolio, which targets a </w:t>
      </w:r>
      <w:r w:rsidR="007F3CEB" w:rsidRPr="00305E4E">
        <w:rPr>
          <w:rFonts w:eastAsia="Times New Roman" w:cs="Arial"/>
          <w:color w:val="000000" w:themeColor="text1"/>
          <w:sz w:val="21"/>
          <w:szCs w:val="21"/>
        </w:rPr>
        <w:t>three</w:t>
      </w:r>
      <w:r w:rsidR="0033764A" w:rsidRPr="00305E4E">
        <w:rPr>
          <w:rFonts w:eastAsia="Times New Roman" w:cs="Arial"/>
          <w:color w:val="000000" w:themeColor="text1"/>
          <w:sz w:val="21"/>
          <w:szCs w:val="21"/>
        </w:rPr>
        <w:t>-</w:t>
      </w:r>
      <w:r w:rsidR="007F3CEB" w:rsidRPr="00305E4E">
        <w:rPr>
          <w:rFonts w:eastAsia="Times New Roman" w:cs="Arial"/>
          <w:color w:val="000000" w:themeColor="text1"/>
          <w:sz w:val="21"/>
          <w:szCs w:val="21"/>
        </w:rPr>
        <w:t>month</w:t>
      </w:r>
      <w:r w:rsidR="00BE59B5" w:rsidRPr="00305E4E">
        <w:rPr>
          <w:rFonts w:eastAsia="Times New Roman" w:cs="Arial"/>
          <w:color w:val="000000" w:themeColor="text1"/>
          <w:sz w:val="21"/>
          <w:szCs w:val="21"/>
        </w:rPr>
        <w:t xml:space="preserve"> duration,</w:t>
      </w:r>
      <w:r w:rsidR="001D3197" w:rsidRPr="00305E4E">
        <w:rPr>
          <w:rFonts w:eastAsia="Times New Roman" w:cs="Arial"/>
          <w:color w:val="000000" w:themeColor="text1"/>
          <w:sz w:val="21"/>
          <w:szCs w:val="21"/>
        </w:rPr>
        <w:t xml:space="preserve"> </w:t>
      </w:r>
      <w:r w:rsidR="00EA255E" w:rsidRPr="00305E4E">
        <w:rPr>
          <w:rFonts w:eastAsia="Times New Roman" w:cs="Arial"/>
          <w:color w:val="000000" w:themeColor="text1"/>
          <w:sz w:val="21"/>
          <w:szCs w:val="21"/>
        </w:rPr>
        <w:t xml:space="preserve">had a 30-day yield of </w:t>
      </w:r>
      <w:r w:rsidR="00C35FDD" w:rsidRPr="00305E4E">
        <w:rPr>
          <w:rFonts w:eastAsia="Times New Roman" w:cs="Arial"/>
          <w:b/>
          <w:bCs/>
          <w:color w:val="000000" w:themeColor="text1"/>
          <w:sz w:val="21"/>
          <w:szCs w:val="21"/>
        </w:rPr>
        <w:t>0.</w:t>
      </w:r>
      <w:r w:rsidR="000202E2" w:rsidRPr="00305E4E">
        <w:rPr>
          <w:rFonts w:eastAsia="Times New Roman" w:cs="Arial"/>
          <w:b/>
          <w:bCs/>
          <w:color w:val="000000" w:themeColor="text1"/>
          <w:sz w:val="21"/>
          <w:szCs w:val="21"/>
        </w:rPr>
        <w:t>2</w:t>
      </w:r>
      <w:r w:rsidR="00305E4E" w:rsidRPr="00305E4E">
        <w:rPr>
          <w:rFonts w:eastAsia="Times New Roman" w:cs="Arial"/>
          <w:b/>
          <w:bCs/>
          <w:color w:val="000000" w:themeColor="text1"/>
          <w:sz w:val="21"/>
          <w:szCs w:val="21"/>
        </w:rPr>
        <w:t>0</w:t>
      </w:r>
      <w:r w:rsidR="00EA255E" w:rsidRPr="00305E4E">
        <w:rPr>
          <w:rFonts w:eastAsia="Times New Roman" w:cs="Arial"/>
          <w:b/>
          <w:bCs/>
          <w:color w:val="000000" w:themeColor="text1"/>
          <w:sz w:val="21"/>
          <w:szCs w:val="21"/>
        </w:rPr>
        <w:t>%</w:t>
      </w:r>
      <w:r w:rsidR="00EA255E" w:rsidRPr="00305E4E">
        <w:rPr>
          <w:rFonts w:eastAsia="Times New Roman" w:cs="Arial"/>
          <w:color w:val="000000" w:themeColor="text1"/>
          <w:sz w:val="21"/>
          <w:szCs w:val="21"/>
        </w:rPr>
        <w:t xml:space="preserve">* </w:t>
      </w:r>
      <w:r w:rsidR="00C35FDD" w:rsidRPr="00305E4E">
        <w:rPr>
          <w:rFonts w:eastAsia="Times New Roman" w:cs="Arial"/>
          <w:color w:val="000000" w:themeColor="text1"/>
          <w:sz w:val="21"/>
          <w:szCs w:val="21"/>
        </w:rPr>
        <w:t xml:space="preserve">as of </w:t>
      </w:r>
      <w:r w:rsidR="00305E4E" w:rsidRPr="00305E4E">
        <w:rPr>
          <w:rFonts w:eastAsia="Times New Roman" w:cs="Arial"/>
          <w:color w:val="000000" w:themeColor="text1"/>
          <w:sz w:val="21"/>
          <w:szCs w:val="21"/>
        </w:rPr>
        <w:t>June</w:t>
      </w:r>
      <w:r w:rsidR="00824C49" w:rsidRPr="00305E4E">
        <w:rPr>
          <w:rFonts w:eastAsia="Times New Roman" w:cs="Arial"/>
          <w:color w:val="000000" w:themeColor="text1"/>
          <w:sz w:val="21"/>
          <w:szCs w:val="21"/>
        </w:rPr>
        <w:t xml:space="preserve"> </w:t>
      </w:r>
      <w:r w:rsidR="00B2411F">
        <w:rPr>
          <w:rFonts w:eastAsia="Times New Roman" w:cs="Arial"/>
          <w:color w:val="000000" w:themeColor="text1"/>
          <w:sz w:val="21"/>
          <w:szCs w:val="21"/>
        </w:rPr>
        <w:t>2</w:t>
      </w:r>
      <w:r w:rsidR="0075490D" w:rsidRPr="00305E4E">
        <w:rPr>
          <w:rFonts w:eastAsia="Times New Roman" w:cs="Arial"/>
          <w:color w:val="000000" w:themeColor="text1"/>
          <w:sz w:val="21"/>
          <w:szCs w:val="21"/>
        </w:rPr>
        <w:t>,</w:t>
      </w:r>
      <w:r w:rsidR="00C35FDD" w:rsidRPr="00305E4E">
        <w:rPr>
          <w:rFonts w:eastAsia="Times New Roman" w:cs="Arial"/>
          <w:color w:val="000000" w:themeColor="text1"/>
          <w:sz w:val="21"/>
          <w:szCs w:val="21"/>
        </w:rPr>
        <w:t xml:space="preserve"> 202</w:t>
      </w:r>
      <w:r w:rsidR="001942F5" w:rsidRPr="00305E4E">
        <w:rPr>
          <w:rFonts w:eastAsia="Times New Roman" w:cs="Arial"/>
          <w:color w:val="000000" w:themeColor="text1"/>
          <w:sz w:val="21"/>
          <w:szCs w:val="21"/>
        </w:rPr>
        <w:t>1</w:t>
      </w:r>
      <w:r w:rsidR="00C35FDD" w:rsidRPr="00305E4E">
        <w:rPr>
          <w:rFonts w:eastAsia="Times New Roman" w:cs="Arial"/>
          <w:color w:val="000000" w:themeColor="text1"/>
          <w:sz w:val="21"/>
          <w:szCs w:val="21"/>
        </w:rPr>
        <w:t xml:space="preserve"> while the</w:t>
      </w:r>
      <w:r w:rsidR="00C35FDD" w:rsidRPr="00305E4E">
        <w:t xml:space="preserve"> </w:t>
      </w:r>
      <w:r w:rsidR="00C35FDD" w:rsidRPr="00305E4E">
        <w:rPr>
          <w:rFonts w:eastAsia="Times New Roman" w:cs="Arial"/>
          <w:color w:val="000000" w:themeColor="text1"/>
          <w:sz w:val="21"/>
          <w:szCs w:val="21"/>
        </w:rPr>
        <w:t xml:space="preserve">TCU Short Duration Portfolio, which targets a </w:t>
      </w:r>
      <w:r w:rsidR="007F3CEB" w:rsidRPr="00305E4E">
        <w:rPr>
          <w:rFonts w:eastAsia="Times New Roman" w:cs="Arial"/>
          <w:color w:val="000000" w:themeColor="text1"/>
          <w:sz w:val="21"/>
          <w:szCs w:val="21"/>
        </w:rPr>
        <w:t>two year</w:t>
      </w:r>
      <w:r w:rsidR="00C35FDD" w:rsidRPr="00305E4E">
        <w:rPr>
          <w:rFonts w:eastAsia="Times New Roman" w:cs="Arial"/>
          <w:color w:val="000000" w:themeColor="text1"/>
          <w:sz w:val="21"/>
          <w:szCs w:val="21"/>
        </w:rPr>
        <w:t xml:space="preserve"> duration, had a 30-day yield of </w:t>
      </w:r>
      <w:r w:rsidR="00C35FDD" w:rsidRPr="00305E4E">
        <w:rPr>
          <w:rFonts w:eastAsia="Times New Roman" w:cs="Arial"/>
          <w:b/>
          <w:bCs/>
          <w:color w:val="000000" w:themeColor="text1"/>
          <w:sz w:val="21"/>
          <w:szCs w:val="21"/>
        </w:rPr>
        <w:t>0.</w:t>
      </w:r>
      <w:r w:rsidR="00305E4E" w:rsidRPr="00305E4E">
        <w:rPr>
          <w:rFonts w:eastAsia="Times New Roman" w:cs="Arial"/>
          <w:b/>
          <w:bCs/>
          <w:color w:val="000000" w:themeColor="text1"/>
          <w:sz w:val="21"/>
          <w:szCs w:val="21"/>
        </w:rPr>
        <w:t>39</w:t>
      </w:r>
      <w:r w:rsidR="00C35FDD" w:rsidRPr="00305E4E">
        <w:rPr>
          <w:rFonts w:eastAsia="Times New Roman" w:cs="Arial"/>
          <w:b/>
          <w:bCs/>
          <w:color w:val="000000" w:themeColor="text1"/>
          <w:sz w:val="21"/>
          <w:szCs w:val="21"/>
        </w:rPr>
        <w:t>%</w:t>
      </w:r>
      <w:r w:rsidR="00C35FDD" w:rsidRPr="00305E4E">
        <w:rPr>
          <w:rFonts w:eastAsia="Times New Roman" w:cs="Arial"/>
          <w:color w:val="000000" w:themeColor="text1"/>
          <w:sz w:val="21"/>
          <w:szCs w:val="21"/>
        </w:rPr>
        <w:t>* ov</w:t>
      </w:r>
      <w:r w:rsidR="00C35FDD" w:rsidRPr="001A1031">
        <w:rPr>
          <w:rFonts w:eastAsia="Times New Roman" w:cs="Arial"/>
          <w:color w:val="000000" w:themeColor="text1"/>
          <w:sz w:val="21"/>
          <w:szCs w:val="21"/>
        </w:rPr>
        <w:t>er the same period.</w:t>
      </w:r>
      <w:r w:rsidR="004C62AB">
        <w:rPr>
          <w:rFonts w:eastAsia="Times New Roman" w:cs="Arial"/>
          <w:color w:val="000000" w:themeColor="text1"/>
          <w:sz w:val="21"/>
          <w:szCs w:val="21"/>
        </w:rPr>
        <w:t xml:space="preserve"> Both funds offer next-day liquidity, feature no minimum or maximum investment amounts, and have no tiers.</w:t>
      </w:r>
    </w:p>
    <w:p w14:paraId="2FA0A9D5" w14:textId="41A01C22" w:rsidR="00C96084" w:rsidRDefault="00C96084" w:rsidP="00C96084">
      <w:pPr>
        <w:spacing w:after="0" w:line="360" w:lineRule="auto"/>
        <w:rPr>
          <w:rFonts w:eastAsia="Times New Roman" w:cs="Arial"/>
          <w:color w:val="000000" w:themeColor="text1"/>
          <w:sz w:val="21"/>
          <w:szCs w:val="21"/>
        </w:rPr>
      </w:pPr>
    </w:p>
    <w:p w14:paraId="36641054" w14:textId="10111EC6" w:rsidR="00C96084" w:rsidRDefault="00C96084" w:rsidP="00C96084">
      <w:pPr>
        <w:spacing w:line="360" w:lineRule="auto"/>
        <w:rPr>
          <w:rFonts w:eastAsia="Times New Roman" w:cs="Arial"/>
          <w:color w:val="000000" w:themeColor="text1"/>
          <w:sz w:val="21"/>
          <w:szCs w:val="21"/>
        </w:rPr>
      </w:pPr>
      <w:r w:rsidRPr="00C96084">
        <w:rPr>
          <w:rFonts w:eastAsia="Times New Roman" w:cs="Arial"/>
          <w:color w:val="000000" w:themeColor="text1"/>
          <w:sz w:val="21"/>
          <w:szCs w:val="21"/>
        </w:rPr>
        <w:t>“TCU has built a strong history of performance and it’s exciting to see more credit unions take advantage of our offerings to put their excess liquidity to work</w:t>
      </w:r>
      <w:r>
        <w:rPr>
          <w:rFonts w:eastAsia="Times New Roman" w:cs="Arial"/>
          <w:color w:val="000000" w:themeColor="text1"/>
          <w:sz w:val="21"/>
          <w:szCs w:val="21"/>
        </w:rPr>
        <w:t>,</w:t>
      </w:r>
      <w:r w:rsidRPr="00C96084">
        <w:rPr>
          <w:rFonts w:eastAsia="Times New Roman" w:cs="Arial"/>
          <w:color w:val="000000" w:themeColor="text1"/>
          <w:sz w:val="21"/>
          <w:szCs w:val="21"/>
        </w:rPr>
        <w:t>”</w:t>
      </w:r>
      <w:r w:rsidRPr="00C96084">
        <w:t xml:space="preserve"> </w:t>
      </w:r>
      <w:r w:rsidRPr="00C96084">
        <w:rPr>
          <w:rFonts w:eastAsia="Times New Roman" w:cs="Arial"/>
          <w:color w:val="000000" w:themeColor="text1"/>
          <w:sz w:val="21"/>
          <w:szCs w:val="21"/>
        </w:rPr>
        <w:t>says Jay Johnson, President of TCU.</w:t>
      </w:r>
      <w:r>
        <w:rPr>
          <w:rFonts w:eastAsia="Times New Roman" w:cs="Arial"/>
          <w:color w:val="000000" w:themeColor="text1"/>
          <w:sz w:val="21"/>
          <w:szCs w:val="21"/>
        </w:rPr>
        <w:t xml:space="preserve"> “We look forward to continuing to welcome new investors throughout the rest of 2021 and beyond.”</w:t>
      </w:r>
    </w:p>
    <w:p w14:paraId="3ADC33BD" w14:textId="77777777" w:rsidR="00824C49" w:rsidRDefault="00824C49" w:rsidP="00860777">
      <w:pPr>
        <w:spacing w:after="0" w:line="360" w:lineRule="auto"/>
        <w:rPr>
          <w:rFonts w:eastAsia="Times New Roman" w:cs="Arial"/>
          <w:color w:val="000000" w:themeColor="text1"/>
          <w:sz w:val="21"/>
          <w:szCs w:val="21"/>
        </w:rPr>
      </w:pPr>
    </w:p>
    <w:p w14:paraId="6156679C" w14:textId="2F5480B4" w:rsidR="00860777" w:rsidRDefault="00860777" w:rsidP="00860777">
      <w:pPr>
        <w:spacing w:after="0" w:line="360" w:lineRule="auto"/>
        <w:rPr>
          <w:rFonts w:eastAsia="Times New Roman" w:cs="Arial"/>
          <w:color w:val="000000" w:themeColor="text1"/>
          <w:sz w:val="21"/>
          <w:szCs w:val="21"/>
        </w:rPr>
      </w:pPr>
      <w:r w:rsidRPr="00860777">
        <w:rPr>
          <w:rFonts w:eastAsia="Times New Roman" w:cs="Arial"/>
          <w:color w:val="000000" w:themeColor="text1"/>
          <w:sz w:val="21"/>
          <w:szCs w:val="21"/>
        </w:rPr>
        <w:t>ALM First Financial</w:t>
      </w:r>
      <w:r w:rsidR="00EF5A66">
        <w:rPr>
          <w:rFonts w:eastAsia="Times New Roman" w:cs="Arial"/>
          <w:color w:val="000000" w:themeColor="text1"/>
          <w:sz w:val="21"/>
          <w:szCs w:val="21"/>
        </w:rPr>
        <w:t xml:space="preserve"> </w:t>
      </w:r>
      <w:r w:rsidRPr="00860777">
        <w:rPr>
          <w:rFonts w:eastAsia="Times New Roman" w:cs="Arial"/>
          <w:color w:val="000000" w:themeColor="text1"/>
          <w:sz w:val="21"/>
          <w:szCs w:val="21"/>
        </w:rPr>
        <w:t xml:space="preserve">Advisors </w:t>
      </w:r>
      <w:r w:rsidR="005A5324">
        <w:rPr>
          <w:rFonts w:eastAsia="Times New Roman" w:cs="Arial"/>
          <w:color w:val="000000" w:themeColor="text1"/>
          <w:sz w:val="21"/>
          <w:szCs w:val="21"/>
        </w:rPr>
        <w:t>serves as the</w:t>
      </w:r>
      <w:r w:rsidRPr="00860777">
        <w:rPr>
          <w:rFonts w:eastAsia="Times New Roman" w:cs="Arial"/>
          <w:color w:val="000000" w:themeColor="text1"/>
          <w:sz w:val="21"/>
          <w:szCs w:val="21"/>
        </w:rPr>
        <w:t xml:space="preserve"> funds’ investment advisor</w:t>
      </w:r>
      <w:r w:rsidR="005A5324">
        <w:rPr>
          <w:rFonts w:eastAsia="Times New Roman" w:cs="Arial"/>
          <w:color w:val="000000" w:themeColor="text1"/>
          <w:sz w:val="21"/>
          <w:szCs w:val="21"/>
        </w:rPr>
        <w:t xml:space="preserve">, </w:t>
      </w:r>
      <w:r w:rsidR="00B35690">
        <w:rPr>
          <w:rFonts w:eastAsia="Times New Roman" w:cs="Arial"/>
          <w:color w:val="000000" w:themeColor="text1"/>
          <w:sz w:val="21"/>
          <w:szCs w:val="21"/>
        </w:rPr>
        <w:t>provid</w:t>
      </w:r>
      <w:r w:rsidR="005A5324">
        <w:rPr>
          <w:rFonts w:eastAsia="Times New Roman" w:cs="Arial"/>
          <w:color w:val="000000" w:themeColor="text1"/>
          <w:sz w:val="21"/>
          <w:szCs w:val="21"/>
        </w:rPr>
        <w:t>ing</w:t>
      </w:r>
      <w:r w:rsidR="00B35690">
        <w:rPr>
          <w:rFonts w:eastAsia="Times New Roman" w:cs="Arial"/>
          <w:color w:val="000000" w:themeColor="text1"/>
          <w:sz w:val="21"/>
          <w:szCs w:val="21"/>
        </w:rPr>
        <w:t xml:space="preserve"> ongoing </w:t>
      </w:r>
      <w:r w:rsidR="00F14A8A">
        <w:rPr>
          <w:rFonts w:eastAsia="Times New Roman" w:cs="Arial"/>
          <w:color w:val="000000" w:themeColor="text1"/>
          <w:sz w:val="21"/>
          <w:szCs w:val="21"/>
        </w:rPr>
        <w:t xml:space="preserve">economic updates and </w:t>
      </w:r>
      <w:r w:rsidR="00282B11">
        <w:rPr>
          <w:rFonts w:eastAsia="Times New Roman" w:cs="Arial"/>
          <w:color w:val="000000" w:themeColor="text1"/>
          <w:sz w:val="21"/>
          <w:szCs w:val="21"/>
        </w:rPr>
        <w:t xml:space="preserve">timely </w:t>
      </w:r>
      <w:r w:rsidR="00B35690">
        <w:rPr>
          <w:rFonts w:eastAsia="Times New Roman" w:cs="Arial"/>
          <w:color w:val="000000" w:themeColor="text1"/>
          <w:sz w:val="21"/>
          <w:szCs w:val="21"/>
        </w:rPr>
        <w:t>educational resources</w:t>
      </w:r>
      <w:r w:rsidRPr="00860777">
        <w:rPr>
          <w:rFonts w:eastAsia="Times New Roman" w:cs="Arial"/>
          <w:color w:val="000000" w:themeColor="text1"/>
          <w:sz w:val="21"/>
          <w:szCs w:val="21"/>
        </w:rPr>
        <w:t xml:space="preserve"> to </w:t>
      </w:r>
      <w:r w:rsidR="005A5324">
        <w:rPr>
          <w:rFonts w:eastAsia="Times New Roman" w:cs="Arial"/>
          <w:color w:val="000000" w:themeColor="text1"/>
          <w:sz w:val="21"/>
          <w:szCs w:val="21"/>
        </w:rPr>
        <w:t>benefit</w:t>
      </w:r>
      <w:r w:rsidR="00EF5A66">
        <w:rPr>
          <w:rFonts w:eastAsia="Times New Roman" w:cs="Arial"/>
          <w:color w:val="000000" w:themeColor="text1"/>
          <w:sz w:val="21"/>
          <w:szCs w:val="21"/>
        </w:rPr>
        <w:t xml:space="preserve"> </w:t>
      </w:r>
      <w:r w:rsidR="00F14A8A">
        <w:rPr>
          <w:rFonts w:eastAsia="Times New Roman" w:cs="Arial"/>
          <w:color w:val="000000" w:themeColor="text1"/>
          <w:sz w:val="21"/>
          <w:szCs w:val="21"/>
        </w:rPr>
        <w:t>both current and potential i</w:t>
      </w:r>
      <w:r w:rsidRPr="00860777">
        <w:rPr>
          <w:rFonts w:eastAsia="Times New Roman" w:cs="Arial"/>
          <w:color w:val="000000" w:themeColor="text1"/>
          <w:sz w:val="21"/>
          <w:szCs w:val="21"/>
        </w:rPr>
        <w:t>nvestors.</w:t>
      </w:r>
    </w:p>
    <w:p w14:paraId="5BFAA42D" w14:textId="77777777" w:rsidR="00EF5A66" w:rsidRPr="00860777" w:rsidRDefault="00EF5A66" w:rsidP="00860777">
      <w:pPr>
        <w:spacing w:after="0" w:line="360" w:lineRule="auto"/>
        <w:rPr>
          <w:rFonts w:eastAsia="Times New Roman" w:cs="Arial"/>
          <w:color w:val="000000" w:themeColor="text1"/>
          <w:sz w:val="21"/>
          <w:szCs w:val="21"/>
        </w:rPr>
      </w:pPr>
    </w:p>
    <w:p w14:paraId="10179EDD" w14:textId="28394F74" w:rsidR="00CE4663" w:rsidRDefault="00583917" w:rsidP="00860777">
      <w:pPr>
        <w:spacing w:after="0" w:line="360" w:lineRule="auto"/>
        <w:rPr>
          <w:rFonts w:eastAsia="Times New Roman" w:cs="Arial"/>
          <w:color w:val="000000" w:themeColor="text1"/>
          <w:sz w:val="21"/>
          <w:szCs w:val="21"/>
        </w:rPr>
      </w:pPr>
      <w:r w:rsidRPr="00583917">
        <w:rPr>
          <w:rFonts w:eastAsia="Times New Roman" w:cs="Arial"/>
          <w:color w:val="000000" w:themeColor="text1"/>
          <w:sz w:val="21"/>
          <w:szCs w:val="21"/>
        </w:rPr>
        <w:t>“</w:t>
      </w:r>
      <w:r w:rsidR="0033764A">
        <w:rPr>
          <w:rFonts w:eastAsia="Times New Roman" w:cs="Arial"/>
          <w:color w:val="000000" w:themeColor="text1"/>
          <w:sz w:val="21"/>
          <w:szCs w:val="21"/>
        </w:rPr>
        <w:t>T</w:t>
      </w:r>
      <w:r w:rsidR="0033764A" w:rsidRPr="0033764A">
        <w:rPr>
          <w:rFonts w:eastAsia="Times New Roman" w:cs="Arial"/>
          <w:color w:val="000000" w:themeColor="text1"/>
          <w:sz w:val="21"/>
          <w:szCs w:val="21"/>
        </w:rPr>
        <w:t>he TCU Ultra-Short Duration and Short Duration Portfolios have been important tools to help credit unions serve their members</w:t>
      </w:r>
      <w:r w:rsidR="0033764A">
        <w:rPr>
          <w:rFonts w:eastAsia="Times New Roman" w:cs="Arial"/>
          <w:color w:val="000000" w:themeColor="text1"/>
          <w:sz w:val="21"/>
          <w:szCs w:val="21"/>
        </w:rPr>
        <w:t xml:space="preserve">, especially as the industry has seen higher </w:t>
      </w:r>
      <w:r w:rsidR="0033764A">
        <w:rPr>
          <w:rFonts w:eastAsia="Times New Roman" w:cs="Arial"/>
          <w:color w:val="000000" w:themeColor="text1"/>
          <w:sz w:val="21"/>
          <w:szCs w:val="21"/>
        </w:rPr>
        <w:lastRenderedPageBreak/>
        <w:t>excess liquidity levels</w:t>
      </w:r>
      <w:r w:rsidRPr="00583917">
        <w:rPr>
          <w:rFonts w:eastAsia="Times New Roman" w:cs="Arial"/>
          <w:color w:val="000000" w:themeColor="text1"/>
          <w:sz w:val="21"/>
          <w:szCs w:val="21"/>
        </w:rPr>
        <w:t>,” says Jason Haley, Chief Investment Officer for ALM First. “</w:t>
      </w:r>
      <w:r w:rsidR="0033764A" w:rsidRPr="0033764A">
        <w:rPr>
          <w:rFonts w:eastAsia="Times New Roman" w:cs="Arial"/>
          <w:color w:val="000000" w:themeColor="text1"/>
          <w:sz w:val="21"/>
          <w:szCs w:val="21"/>
        </w:rPr>
        <w:t xml:space="preserve">We’re proud to </w:t>
      </w:r>
      <w:r w:rsidR="0033764A">
        <w:rPr>
          <w:rFonts w:eastAsia="Times New Roman" w:cs="Arial"/>
          <w:color w:val="000000" w:themeColor="text1"/>
          <w:sz w:val="21"/>
          <w:szCs w:val="21"/>
        </w:rPr>
        <w:t xml:space="preserve">actively manage these portfolios and </w:t>
      </w:r>
      <w:r w:rsidR="0033764A" w:rsidRPr="0033764A">
        <w:rPr>
          <w:rFonts w:eastAsia="Times New Roman" w:cs="Arial"/>
          <w:color w:val="000000" w:themeColor="text1"/>
          <w:sz w:val="21"/>
          <w:szCs w:val="21"/>
        </w:rPr>
        <w:t>share our knowledge and market insights regularly for the benefit of TCU investors and the entire industry</w:t>
      </w:r>
      <w:r w:rsidRPr="00583917">
        <w:rPr>
          <w:rFonts w:eastAsia="Times New Roman" w:cs="Arial"/>
          <w:color w:val="000000" w:themeColor="text1"/>
          <w:sz w:val="21"/>
          <w:szCs w:val="21"/>
        </w:rPr>
        <w:t xml:space="preserve">.”  </w:t>
      </w:r>
    </w:p>
    <w:p w14:paraId="435EE826" w14:textId="77777777" w:rsidR="00583917" w:rsidRDefault="00583917" w:rsidP="00860777">
      <w:pPr>
        <w:spacing w:after="0" w:line="360" w:lineRule="auto"/>
        <w:rPr>
          <w:rFonts w:eastAsia="Times New Roman" w:cs="Arial"/>
          <w:color w:val="000000" w:themeColor="text1"/>
          <w:sz w:val="21"/>
          <w:szCs w:val="21"/>
        </w:rPr>
      </w:pPr>
    </w:p>
    <w:p w14:paraId="6BB9D18C" w14:textId="41E6B980" w:rsidR="00BC7CCD" w:rsidRDefault="002A2B1C" w:rsidP="00860777">
      <w:pPr>
        <w:spacing w:after="0" w:line="360" w:lineRule="auto"/>
        <w:rPr>
          <w:rFonts w:cs="Arial"/>
          <w:color w:val="000000" w:themeColor="text1"/>
          <w:sz w:val="21"/>
          <w:szCs w:val="21"/>
        </w:rPr>
      </w:pPr>
      <w:r w:rsidRPr="002A2B1C">
        <w:rPr>
          <w:rFonts w:eastAsia="Times New Roman" w:cs="Arial"/>
          <w:color w:val="000000" w:themeColor="text1"/>
          <w:sz w:val="21"/>
          <w:szCs w:val="21"/>
        </w:rPr>
        <w:t xml:space="preserve">TCU helps credit unions succeed by providing a professionally managed family of mutual funds --- exclusive to credit unions --- as well as the information and analysis they need to support investment decisions. Created by leading credit </w:t>
      </w:r>
      <w:r w:rsidR="00354F5E" w:rsidRPr="00354F5E">
        <w:rPr>
          <w:rFonts w:cs="Arial"/>
          <w:color w:val="000000" w:themeColor="text1"/>
          <w:sz w:val="21"/>
          <w:szCs w:val="21"/>
        </w:rPr>
        <w:t>unions with oversight by a board of trustees, TCU’s mutual fund options are professionally managed</w:t>
      </w:r>
      <w:r w:rsidR="00AB1702">
        <w:rPr>
          <w:rFonts w:cs="Arial"/>
          <w:color w:val="000000" w:themeColor="text1"/>
          <w:sz w:val="21"/>
          <w:szCs w:val="21"/>
        </w:rPr>
        <w:t xml:space="preserve"> </w:t>
      </w:r>
      <w:r w:rsidR="00354F5E" w:rsidRPr="00354F5E">
        <w:rPr>
          <w:rFonts w:cs="Arial"/>
          <w:color w:val="000000" w:themeColor="text1"/>
          <w:sz w:val="21"/>
          <w:szCs w:val="21"/>
        </w:rPr>
        <w:t xml:space="preserve">and are based on the cooperative values of credit unions. </w:t>
      </w:r>
    </w:p>
    <w:p w14:paraId="39AD9B3D" w14:textId="77777777" w:rsidR="003F7593" w:rsidRPr="003818DE" w:rsidRDefault="003F7593" w:rsidP="00860777">
      <w:pPr>
        <w:spacing w:after="0" w:line="360" w:lineRule="auto"/>
        <w:rPr>
          <w:rFonts w:eastAsia="Times New Roman" w:cs="Arial"/>
          <w:color w:val="000000" w:themeColor="text1"/>
          <w:sz w:val="21"/>
          <w:szCs w:val="21"/>
        </w:rPr>
      </w:pPr>
    </w:p>
    <w:p w14:paraId="025C4B47" w14:textId="670DA0F3" w:rsidR="00354F5E" w:rsidRDefault="00354F5E" w:rsidP="00354F5E">
      <w:pPr>
        <w:spacing w:line="360" w:lineRule="auto"/>
        <w:rPr>
          <w:rFonts w:cs="Arial"/>
          <w:color w:val="000000" w:themeColor="text1"/>
          <w:sz w:val="21"/>
          <w:szCs w:val="21"/>
        </w:rPr>
      </w:pPr>
      <w:r w:rsidRPr="00354F5E">
        <w:rPr>
          <w:rFonts w:cs="Arial"/>
          <w:color w:val="000000" w:themeColor="text1"/>
          <w:sz w:val="21"/>
          <w:szCs w:val="21"/>
        </w:rPr>
        <w:t xml:space="preserve">In addition to the mutual fund products TCU offers, credit union professionals can also take advantage of a wide range of educational investment information and resources, including daily and monthly market commentaries. For more information, visit </w:t>
      </w:r>
      <w:hyperlink r:id="rId7" w:history="1">
        <w:r w:rsidRPr="00A362A8">
          <w:rPr>
            <w:rStyle w:val="Hyperlink"/>
            <w:rFonts w:cs="Arial"/>
            <w:sz w:val="21"/>
            <w:szCs w:val="21"/>
          </w:rPr>
          <w:t>www.trustcu.com</w:t>
        </w:r>
      </w:hyperlink>
      <w:r w:rsidRPr="00354F5E">
        <w:rPr>
          <w:rFonts w:cs="Arial"/>
          <w:color w:val="000000" w:themeColor="text1"/>
          <w:sz w:val="21"/>
          <w:szCs w:val="21"/>
        </w:rPr>
        <w:t xml:space="preserve"> or contact TCU at 800-</w:t>
      </w:r>
      <w:r w:rsidR="00A362A8">
        <w:rPr>
          <w:rFonts w:cs="Arial"/>
          <w:color w:val="000000" w:themeColor="text1"/>
          <w:sz w:val="21"/>
          <w:szCs w:val="21"/>
        </w:rPr>
        <w:t>237</w:t>
      </w:r>
      <w:r w:rsidRPr="00354F5E">
        <w:rPr>
          <w:rFonts w:cs="Arial"/>
          <w:color w:val="000000" w:themeColor="text1"/>
          <w:sz w:val="21"/>
          <w:szCs w:val="21"/>
        </w:rPr>
        <w:t>-5678.</w:t>
      </w:r>
    </w:p>
    <w:p w14:paraId="18951A22" w14:textId="6CBBF96A" w:rsidR="00F2314F" w:rsidRPr="00F2314F" w:rsidRDefault="00F2314F" w:rsidP="00354F5E">
      <w:pPr>
        <w:spacing w:line="360" w:lineRule="auto"/>
        <w:rPr>
          <w:rFonts w:cs="Calibri"/>
          <w:b/>
          <w:bCs/>
          <w:color w:val="000000" w:themeColor="text1"/>
          <w:szCs w:val="18"/>
        </w:rPr>
      </w:pPr>
      <w:r w:rsidRPr="00F2314F">
        <w:rPr>
          <w:rFonts w:cs="Calibri"/>
          <w:b/>
          <w:bCs/>
          <w:color w:val="000000" w:themeColor="text1"/>
          <w:szCs w:val="18"/>
        </w:rPr>
        <w:t>About T</w:t>
      </w:r>
      <w:r w:rsidR="00A34B04">
        <w:rPr>
          <w:rFonts w:cs="Calibri"/>
          <w:b/>
          <w:bCs/>
          <w:color w:val="000000" w:themeColor="text1"/>
          <w:szCs w:val="18"/>
        </w:rPr>
        <w:t>rust for Credit Unions</w:t>
      </w:r>
    </w:p>
    <w:p w14:paraId="2B184BFE" w14:textId="21012AB8" w:rsidR="00B8720A" w:rsidRDefault="00B8720A" w:rsidP="00B8720A">
      <w:pPr>
        <w:rPr>
          <w:rFonts w:cs="Calibri"/>
          <w:color w:val="000000" w:themeColor="text1"/>
          <w:szCs w:val="18"/>
        </w:rPr>
      </w:pPr>
      <w:r w:rsidRPr="00F2314F">
        <w:rPr>
          <w:rFonts w:cs="Calibri"/>
          <w:bCs/>
          <w:color w:val="000000" w:themeColor="text1"/>
          <w:szCs w:val="18"/>
        </w:rPr>
        <w:t xml:space="preserve">The Trust for Credit Unions (TCU) </w:t>
      </w:r>
      <w:r w:rsidRPr="00F2314F">
        <w:rPr>
          <w:rFonts w:cs="Calibri"/>
          <w:color w:val="000000" w:themeColor="text1"/>
          <w:szCs w:val="18"/>
        </w:rPr>
        <w:t xml:space="preserve">is a family of institutional mutual funds offered exclusively to credit unions. </w:t>
      </w:r>
      <w:r w:rsidRPr="00F2314F">
        <w:rPr>
          <w:rFonts w:cs="Calibri"/>
          <w:bCs/>
          <w:color w:val="000000" w:themeColor="text1"/>
          <w:szCs w:val="18"/>
        </w:rPr>
        <w:t>Callahan Financial Services</w:t>
      </w:r>
      <w:r w:rsidRPr="00B8720A">
        <w:rPr>
          <w:rFonts w:cs="Calibri"/>
          <w:b/>
          <w:bCs/>
          <w:color w:val="000000" w:themeColor="text1"/>
          <w:szCs w:val="18"/>
        </w:rPr>
        <w:t xml:space="preserve"> </w:t>
      </w:r>
      <w:r w:rsidRPr="00B8720A">
        <w:rPr>
          <w:rFonts w:cs="Calibri"/>
          <w:color w:val="000000" w:themeColor="text1"/>
          <w:szCs w:val="18"/>
        </w:rPr>
        <w:t xml:space="preserve">is a wholly owned subsidiary of Callahan &amp; Associates and is the distributor of the TCU mutual funds. </w:t>
      </w:r>
      <w:r w:rsidR="002D37B4">
        <w:rPr>
          <w:rFonts w:cs="Calibri"/>
          <w:color w:val="000000" w:themeColor="text1"/>
          <w:szCs w:val="18"/>
        </w:rPr>
        <w:t>ALM First Financial Advisors, LLC</w:t>
      </w:r>
      <w:r w:rsidRPr="00B8720A">
        <w:rPr>
          <w:rFonts w:cs="Calibri"/>
          <w:color w:val="000000" w:themeColor="text1"/>
          <w:szCs w:val="18"/>
        </w:rPr>
        <w:t xml:space="preserve"> is the investment adviser of the TCU mutual funds. To obtain a prospectus that contains detailed fund information including investment policies, risk considerations, charges and expenses, call Callahan Financial Services, Inc. at 800-CFS-5678. Please read the prospectus carefully.</w:t>
      </w:r>
    </w:p>
    <w:p w14:paraId="40AAC9AA" w14:textId="499B8734" w:rsidR="00BB474E" w:rsidRPr="00F7448F" w:rsidRDefault="00906A5B" w:rsidP="00F7448F">
      <w:pPr>
        <w:rPr>
          <w:rFonts w:cs="Calibri"/>
          <w:color w:val="000000" w:themeColor="text1"/>
          <w:szCs w:val="18"/>
        </w:rPr>
      </w:pPr>
      <w:r w:rsidRPr="00906A5B">
        <w:rPr>
          <w:rFonts w:cs="Calibri"/>
          <w:color w:val="000000" w:themeColor="text1"/>
          <w:szCs w:val="18"/>
        </w:rPr>
        <w:t>*The yields reflect the 30-day Effective Yield (net of fees/expenses). For questions</w:t>
      </w:r>
      <w:r w:rsidR="00F7448F">
        <w:rPr>
          <w:rFonts w:cs="Calibri"/>
          <w:color w:val="000000" w:themeColor="text1"/>
          <w:szCs w:val="18"/>
        </w:rPr>
        <w:t>,</w:t>
      </w:r>
      <w:r w:rsidRPr="00906A5B">
        <w:rPr>
          <w:rFonts w:cs="Calibri"/>
          <w:color w:val="000000" w:themeColor="text1"/>
          <w:szCs w:val="18"/>
        </w:rPr>
        <w:t xml:space="preserve"> please call the TCU Group at 1-800-237-5678.</w:t>
      </w:r>
    </w:p>
    <w:sectPr w:rsidR="00BB474E" w:rsidRPr="00F7448F" w:rsidSect="009729CA">
      <w:headerReference w:type="default" r:id="rId8"/>
      <w:footerReference w:type="default" r:id="rId9"/>
      <w:pgSz w:w="12240" w:h="15840"/>
      <w:pgMar w:top="32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EC324F" w14:textId="77777777" w:rsidR="007735D8" w:rsidRDefault="007735D8" w:rsidP="009729CA">
      <w:pPr>
        <w:spacing w:after="0" w:line="240" w:lineRule="auto"/>
      </w:pPr>
      <w:r>
        <w:separator/>
      </w:r>
    </w:p>
  </w:endnote>
  <w:endnote w:type="continuationSeparator" w:id="0">
    <w:p w14:paraId="6B87A469" w14:textId="77777777" w:rsidR="007735D8" w:rsidRDefault="007735D8" w:rsidP="009729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F20967" w14:textId="77777777" w:rsidR="00F23D12" w:rsidRPr="00F23D12" w:rsidRDefault="00F23D12">
    <w:pPr>
      <w:pStyle w:val="Footer"/>
      <w:rPr>
        <w:sz w:val="14"/>
        <w:szCs w:val="14"/>
      </w:rPr>
    </w:pPr>
    <w:r w:rsidRPr="00F23D12">
      <w:rPr>
        <w:sz w:val="14"/>
        <w:szCs w:val="14"/>
      </w:rPr>
      <w:t xml:space="preserve">1-800-237-5678 | </w:t>
    </w:r>
    <w:hyperlink r:id="rId1" w:history="1">
      <w:r w:rsidRPr="00F23D12">
        <w:rPr>
          <w:rStyle w:val="Hyperlink"/>
          <w:sz w:val="14"/>
          <w:szCs w:val="14"/>
        </w:rPr>
        <w:t>TCUgroup@trustcu.com</w:t>
      </w:r>
    </w:hyperlink>
  </w:p>
  <w:p w14:paraId="585F9573" w14:textId="77777777" w:rsidR="00F23D12" w:rsidRPr="00F23D12" w:rsidRDefault="00F23D12">
    <w:pPr>
      <w:pStyle w:val="Footer"/>
      <w:rPr>
        <w:sz w:val="14"/>
        <w:szCs w:val="14"/>
      </w:rPr>
    </w:pPr>
    <w:r w:rsidRPr="00F23D12">
      <w:rPr>
        <w:sz w:val="14"/>
        <w:szCs w:val="14"/>
      </w:rPr>
      <w:t>1001 Connecticut Ave, NW, Suite 1001, Washington DC 20036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CA4238" w14:textId="77777777" w:rsidR="007735D8" w:rsidRDefault="007735D8" w:rsidP="009729CA">
      <w:pPr>
        <w:spacing w:after="0" w:line="240" w:lineRule="auto"/>
      </w:pPr>
      <w:r>
        <w:separator/>
      </w:r>
    </w:p>
  </w:footnote>
  <w:footnote w:type="continuationSeparator" w:id="0">
    <w:p w14:paraId="71673F4C" w14:textId="77777777" w:rsidR="007735D8" w:rsidRDefault="007735D8" w:rsidP="009729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0E02BD" w14:textId="77777777" w:rsidR="009729CA" w:rsidRDefault="009729CA" w:rsidP="009729CA">
    <w:pPr>
      <w:pStyle w:val="Header"/>
      <w:ind w:left="-540"/>
    </w:pPr>
    <w:r>
      <w:rPr>
        <w:noProof/>
      </w:rPr>
      <w:drawing>
        <wp:inline distT="0" distB="0" distL="0" distR="0" wp14:anchorId="4C32A65B" wp14:editId="4E24C401">
          <wp:extent cx="6565811" cy="1407160"/>
          <wp:effectExtent l="0" t="0" r="6985" b="254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CU-Press release word header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65811" cy="14071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29CA"/>
    <w:rsid w:val="00001EC4"/>
    <w:rsid w:val="000141D8"/>
    <w:rsid w:val="000149B6"/>
    <w:rsid w:val="000202E2"/>
    <w:rsid w:val="00020489"/>
    <w:rsid w:val="00021FA9"/>
    <w:rsid w:val="00041928"/>
    <w:rsid w:val="000531B6"/>
    <w:rsid w:val="00057A6D"/>
    <w:rsid w:val="00075D97"/>
    <w:rsid w:val="000806ED"/>
    <w:rsid w:val="00084ACE"/>
    <w:rsid w:val="00087D88"/>
    <w:rsid w:val="00090254"/>
    <w:rsid w:val="00097C1A"/>
    <w:rsid w:val="000B16CA"/>
    <w:rsid w:val="000B2146"/>
    <w:rsid w:val="000C1C85"/>
    <w:rsid w:val="000C53CB"/>
    <w:rsid w:val="000C63EC"/>
    <w:rsid w:val="000C67B0"/>
    <w:rsid w:val="000C7B17"/>
    <w:rsid w:val="000D13AE"/>
    <w:rsid w:val="000D4532"/>
    <w:rsid w:val="000E38FE"/>
    <w:rsid w:val="00105F2C"/>
    <w:rsid w:val="00123137"/>
    <w:rsid w:val="00127586"/>
    <w:rsid w:val="00135580"/>
    <w:rsid w:val="00136DF8"/>
    <w:rsid w:val="00152D7B"/>
    <w:rsid w:val="00153644"/>
    <w:rsid w:val="00180A9C"/>
    <w:rsid w:val="00180AEB"/>
    <w:rsid w:val="0018300A"/>
    <w:rsid w:val="001942F5"/>
    <w:rsid w:val="00194E9E"/>
    <w:rsid w:val="001A1031"/>
    <w:rsid w:val="001A4EEB"/>
    <w:rsid w:val="001D3197"/>
    <w:rsid w:val="001D5426"/>
    <w:rsid w:val="001E131B"/>
    <w:rsid w:val="001E1903"/>
    <w:rsid w:val="001E19EA"/>
    <w:rsid w:val="001E499E"/>
    <w:rsid w:val="002027A2"/>
    <w:rsid w:val="00214AE6"/>
    <w:rsid w:val="00214D7B"/>
    <w:rsid w:val="0023265C"/>
    <w:rsid w:val="00242068"/>
    <w:rsid w:val="00251D8C"/>
    <w:rsid w:val="00276DED"/>
    <w:rsid w:val="00277011"/>
    <w:rsid w:val="002779B9"/>
    <w:rsid w:val="00282B11"/>
    <w:rsid w:val="00295648"/>
    <w:rsid w:val="0029767C"/>
    <w:rsid w:val="002A1D91"/>
    <w:rsid w:val="002A2B1C"/>
    <w:rsid w:val="002A2E9C"/>
    <w:rsid w:val="002A379D"/>
    <w:rsid w:val="002B6D93"/>
    <w:rsid w:val="002D37B4"/>
    <w:rsid w:val="002D7058"/>
    <w:rsid w:val="002D7C29"/>
    <w:rsid w:val="002E1184"/>
    <w:rsid w:val="002E4808"/>
    <w:rsid w:val="002F4C40"/>
    <w:rsid w:val="00305E4E"/>
    <w:rsid w:val="00320310"/>
    <w:rsid w:val="00323BCE"/>
    <w:rsid w:val="0032449E"/>
    <w:rsid w:val="0033764A"/>
    <w:rsid w:val="00340F1B"/>
    <w:rsid w:val="0034138D"/>
    <w:rsid w:val="00354F5E"/>
    <w:rsid w:val="00361268"/>
    <w:rsid w:val="00365D8D"/>
    <w:rsid w:val="0037060E"/>
    <w:rsid w:val="00374E96"/>
    <w:rsid w:val="00375EF4"/>
    <w:rsid w:val="003818DE"/>
    <w:rsid w:val="00386A69"/>
    <w:rsid w:val="003916F4"/>
    <w:rsid w:val="00394FD4"/>
    <w:rsid w:val="003A0F11"/>
    <w:rsid w:val="003A5FDE"/>
    <w:rsid w:val="003B3DEE"/>
    <w:rsid w:val="003C0EA7"/>
    <w:rsid w:val="003C16E4"/>
    <w:rsid w:val="003C461E"/>
    <w:rsid w:val="003C71A8"/>
    <w:rsid w:val="003C7E31"/>
    <w:rsid w:val="003C7E69"/>
    <w:rsid w:val="003D6738"/>
    <w:rsid w:val="003D7082"/>
    <w:rsid w:val="003E611F"/>
    <w:rsid w:val="003F497D"/>
    <w:rsid w:val="003F7593"/>
    <w:rsid w:val="0040566C"/>
    <w:rsid w:val="00417B6C"/>
    <w:rsid w:val="0042044A"/>
    <w:rsid w:val="00421B45"/>
    <w:rsid w:val="00433582"/>
    <w:rsid w:val="00435F68"/>
    <w:rsid w:val="004524B2"/>
    <w:rsid w:val="00462A5B"/>
    <w:rsid w:val="0046570E"/>
    <w:rsid w:val="004843E0"/>
    <w:rsid w:val="004A5EEA"/>
    <w:rsid w:val="004B2D9B"/>
    <w:rsid w:val="004B4284"/>
    <w:rsid w:val="004B7708"/>
    <w:rsid w:val="004B79E9"/>
    <w:rsid w:val="004C33B2"/>
    <w:rsid w:val="004C62AB"/>
    <w:rsid w:val="004C7989"/>
    <w:rsid w:val="004E243C"/>
    <w:rsid w:val="004F3971"/>
    <w:rsid w:val="0051285C"/>
    <w:rsid w:val="00512F4A"/>
    <w:rsid w:val="00525039"/>
    <w:rsid w:val="0053140B"/>
    <w:rsid w:val="00536142"/>
    <w:rsid w:val="00536939"/>
    <w:rsid w:val="00536A0F"/>
    <w:rsid w:val="00540E5D"/>
    <w:rsid w:val="005432BB"/>
    <w:rsid w:val="00557E37"/>
    <w:rsid w:val="00561E12"/>
    <w:rsid w:val="0056359A"/>
    <w:rsid w:val="00570198"/>
    <w:rsid w:val="005753A2"/>
    <w:rsid w:val="00581FE6"/>
    <w:rsid w:val="00583917"/>
    <w:rsid w:val="00596DE4"/>
    <w:rsid w:val="005A0EB6"/>
    <w:rsid w:val="005A19C3"/>
    <w:rsid w:val="005A2FC0"/>
    <w:rsid w:val="005A5324"/>
    <w:rsid w:val="005A756F"/>
    <w:rsid w:val="005B2DD0"/>
    <w:rsid w:val="005B60D6"/>
    <w:rsid w:val="005C27EE"/>
    <w:rsid w:val="005C2BF4"/>
    <w:rsid w:val="005C6440"/>
    <w:rsid w:val="005D7F31"/>
    <w:rsid w:val="005E280D"/>
    <w:rsid w:val="005E3315"/>
    <w:rsid w:val="005E3CE3"/>
    <w:rsid w:val="005E6C96"/>
    <w:rsid w:val="00616A13"/>
    <w:rsid w:val="00623ED7"/>
    <w:rsid w:val="00626430"/>
    <w:rsid w:val="00630C4F"/>
    <w:rsid w:val="00656844"/>
    <w:rsid w:val="0065790C"/>
    <w:rsid w:val="00662D79"/>
    <w:rsid w:val="00670152"/>
    <w:rsid w:val="00685100"/>
    <w:rsid w:val="006912C5"/>
    <w:rsid w:val="00692B95"/>
    <w:rsid w:val="0069663D"/>
    <w:rsid w:val="006A2B1F"/>
    <w:rsid w:val="006A2FF6"/>
    <w:rsid w:val="006A6E65"/>
    <w:rsid w:val="006E1514"/>
    <w:rsid w:val="00707DA0"/>
    <w:rsid w:val="007143D7"/>
    <w:rsid w:val="00720879"/>
    <w:rsid w:val="00724188"/>
    <w:rsid w:val="0073209F"/>
    <w:rsid w:val="007371F6"/>
    <w:rsid w:val="00737BCB"/>
    <w:rsid w:val="007411C0"/>
    <w:rsid w:val="00744183"/>
    <w:rsid w:val="0075490D"/>
    <w:rsid w:val="007572C9"/>
    <w:rsid w:val="007735D8"/>
    <w:rsid w:val="0078403E"/>
    <w:rsid w:val="0078574E"/>
    <w:rsid w:val="00787F3B"/>
    <w:rsid w:val="00794DC7"/>
    <w:rsid w:val="007A115D"/>
    <w:rsid w:val="007A1E06"/>
    <w:rsid w:val="007A602D"/>
    <w:rsid w:val="007A7D92"/>
    <w:rsid w:val="007C334E"/>
    <w:rsid w:val="007C3484"/>
    <w:rsid w:val="007C7A91"/>
    <w:rsid w:val="007D0631"/>
    <w:rsid w:val="007E2E59"/>
    <w:rsid w:val="007E459D"/>
    <w:rsid w:val="007E5C5A"/>
    <w:rsid w:val="007F3CEB"/>
    <w:rsid w:val="007F758B"/>
    <w:rsid w:val="00804707"/>
    <w:rsid w:val="00824C49"/>
    <w:rsid w:val="0083279A"/>
    <w:rsid w:val="0083447D"/>
    <w:rsid w:val="008357D6"/>
    <w:rsid w:val="00843030"/>
    <w:rsid w:val="00846FC8"/>
    <w:rsid w:val="00850930"/>
    <w:rsid w:val="0085394C"/>
    <w:rsid w:val="00860777"/>
    <w:rsid w:val="00863E07"/>
    <w:rsid w:val="00864CBC"/>
    <w:rsid w:val="00873A81"/>
    <w:rsid w:val="0087536A"/>
    <w:rsid w:val="00881040"/>
    <w:rsid w:val="00886E6D"/>
    <w:rsid w:val="008A30A0"/>
    <w:rsid w:val="008B0768"/>
    <w:rsid w:val="008C003D"/>
    <w:rsid w:val="008C6D91"/>
    <w:rsid w:val="008D18BF"/>
    <w:rsid w:val="008D1C01"/>
    <w:rsid w:val="008D5243"/>
    <w:rsid w:val="008D60A1"/>
    <w:rsid w:val="008E2372"/>
    <w:rsid w:val="008E341D"/>
    <w:rsid w:val="008F0DE3"/>
    <w:rsid w:val="008F3F09"/>
    <w:rsid w:val="008F5D28"/>
    <w:rsid w:val="00903D94"/>
    <w:rsid w:val="00904B45"/>
    <w:rsid w:val="00906A5B"/>
    <w:rsid w:val="009256DE"/>
    <w:rsid w:val="00945BAB"/>
    <w:rsid w:val="0095115F"/>
    <w:rsid w:val="00952CC4"/>
    <w:rsid w:val="00966181"/>
    <w:rsid w:val="009665D5"/>
    <w:rsid w:val="00967039"/>
    <w:rsid w:val="009729CA"/>
    <w:rsid w:val="0098687E"/>
    <w:rsid w:val="0099046F"/>
    <w:rsid w:val="009A4CC8"/>
    <w:rsid w:val="009B2369"/>
    <w:rsid w:val="009C44F6"/>
    <w:rsid w:val="009E27D9"/>
    <w:rsid w:val="009E61D3"/>
    <w:rsid w:val="00A06B44"/>
    <w:rsid w:val="00A1137E"/>
    <w:rsid w:val="00A240AE"/>
    <w:rsid w:val="00A25269"/>
    <w:rsid w:val="00A34B04"/>
    <w:rsid w:val="00A3512B"/>
    <w:rsid w:val="00A35B94"/>
    <w:rsid w:val="00A362A8"/>
    <w:rsid w:val="00A368E4"/>
    <w:rsid w:val="00A41955"/>
    <w:rsid w:val="00A42D50"/>
    <w:rsid w:val="00A50348"/>
    <w:rsid w:val="00A512E5"/>
    <w:rsid w:val="00A53509"/>
    <w:rsid w:val="00A54681"/>
    <w:rsid w:val="00A56D92"/>
    <w:rsid w:val="00A66AF5"/>
    <w:rsid w:val="00A66ED1"/>
    <w:rsid w:val="00A720E6"/>
    <w:rsid w:val="00A73D5B"/>
    <w:rsid w:val="00A76B58"/>
    <w:rsid w:val="00A9149A"/>
    <w:rsid w:val="00A94173"/>
    <w:rsid w:val="00A962FB"/>
    <w:rsid w:val="00A96E3E"/>
    <w:rsid w:val="00AA0DC4"/>
    <w:rsid w:val="00AA7218"/>
    <w:rsid w:val="00AB1702"/>
    <w:rsid w:val="00AB335F"/>
    <w:rsid w:val="00AB522F"/>
    <w:rsid w:val="00AC162D"/>
    <w:rsid w:val="00AC4675"/>
    <w:rsid w:val="00AD172C"/>
    <w:rsid w:val="00AD19F8"/>
    <w:rsid w:val="00AD450C"/>
    <w:rsid w:val="00AD6376"/>
    <w:rsid w:val="00AD7EA1"/>
    <w:rsid w:val="00AE795C"/>
    <w:rsid w:val="00AF3C58"/>
    <w:rsid w:val="00B000B9"/>
    <w:rsid w:val="00B01D9D"/>
    <w:rsid w:val="00B06929"/>
    <w:rsid w:val="00B121AA"/>
    <w:rsid w:val="00B1771D"/>
    <w:rsid w:val="00B23928"/>
    <w:rsid w:val="00B23DB5"/>
    <w:rsid w:val="00B2411F"/>
    <w:rsid w:val="00B35690"/>
    <w:rsid w:val="00B42567"/>
    <w:rsid w:val="00B46B34"/>
    <w:rsid w:val="00B575CD"/>
    <w:rsid w:val="00B660A2"/>
    <w:rsid w:val="00B71445"/>
    <w:rsid w:val="00B772DB"/>
    <w:rsid w:val="00B77342"/>
    <w:rsid w:val="00B80F78"/>
    <w:rsid w:val="00B8720A"/>
    <w:rsid w:val="00B91AD6"/>
    <w:rsid w:val="00BA53FE"/>
    <w:rsid w:val="00BA7ABD"/>
    <w:rsid w:val="00BB474E"/>
    <w:rsid w:val="00BB6205"/>
    <w:rsid w:val="00BB7637"/>
    <w:rsid w:val="00BC3DAE"/>
    <w:rsid w:val="00BC5D94"/>
    <w:rsid w:val="00BC667B"/>
    <w:rsid w:val="00BC7CCD"/>
    <w:rsid w:val="00BE59B5"/>
    <w:rsid w:val="00C149F5"/>
    <w:rsid w:val="00C27C2D"/>
    <w:rsid w:val="00C35FDD"/>
    <w:rsid w:val="00C504C0"/>
    <w:rsid w:val="00C5721D"/>
    <w:rsid w:val="00C67E7D"/>
    <w:rsid w:val="00C721E4"/>
    <w:rsid w:val="00C836F9"/>
    <w:rsid w:val="00C8703D"/>
    <w:rsid w:val="00C90E97"/>
    <w:rsid w:val="00C919C1"/>
    <w:rsid w:val="00C94057"/>
    <w:rsid w:val="00C96084"/>
    <w:rsid w:val="00CA1D9B"/>
    <w:rsid w:val="00CA3326"/>
    <w:rsid w:val="00CA37A9"/>
    <w:rsid w:val="00CA6E0D"/>
    <w:rsid w:val="00CB5BA8"/>
    <w:rsid w:val="00CC2AE6"/>
    <w:rsid w:val="00CC5ECB"/>
    <w:rsid w:val="00CD1ED5"/>
    <w:rsid w:val="00CD6631"/>
    <w:rsid w:val="00CD6972"/>
    <w:rsid w:val="00CE22CA"/>
    <w:rsid w:val="00CE4663"/>
    <w:rsid w:val="00CE542D"/>
    <w:rsid w:val="00CF224D"/>
    <w:rsid w:val="00CF2988"/>
    <w:rsid w:val="00CF3150"/>
    <w:rsid w:val="00CF6532"/>
    <w:rsid w:val="00CF7870"/>
    <w:rsid w:val="00D065DA"/>
    <w:rsid w:val="00D115DC"/>
    <w:rsid w:val="00D14850"/>
    <w:rsid w:val="00D211CB"/>
    <w:rsid w:val="00D22EC1"/>
    <w:rsid w:val="00D32A26"/>
    <w:rsid w:val="00D34414"/>
    <w:rsid w:val="00D44ED6"/>
    <w:rsid w:val="00D4642E"/>
    <w:rsid w:val="00D474C7"/>
    <w:rsid w:val="00D52346"/>
    <w:rsid w:val="00D60B09"/>
    <w:rsid w:val="00D74CE0"/>
    <w:rsid w:val="00D7764F"/>
    <w:rsid w:val="00D8102A"/>
    <w:rsid w:val="00D81BDA"/>
    <w:rsid w:val="00D91E87"/>
    <w:rsid w:val="00D96CC0"/>
    <w:rsid w:val="00D97909"/>
    <w:rsid w:val="00DA00A2"/>
    <w:rsid w:val="00DA4968"/>
    <w:rsid w:val="00DA4FA4"/>
    <w:rsid w:val="00DB0156"/>
    <w:rsid w:val="00DB2554"/>
    <w:rsid w:val="00DB709C"/>
    <w:rsid w:val="00DD12C7"/>
    <w:rsid w:val="00DD7FBF"/>
    <w:rsid w:val="00DF5276"/>
    <w:rsid w:val="00E03B6B"/>
    <w:rsid w:val="00E04B10"/>
    <w:rsid w:val="00E052F7"/>
    <w:rsid w:val="00E05725"/>
    <w:rsid w:val="00E072AF"/>
    <w:rsid w:val="00E137FA"/>
    <w:rsid w:val="00E147FC"/>
    <w:rsid w:val="00E308D7"/>
    <w:rsid w:val="00E57550"/>
    <w:rsid w:val="00E60F05"/>
    <w:rsid w:val="00E61180"/>
    <w:rsid w:val="00E75BF2"/>
    <w:rsid w:val="00E77961"/>
    <w:rsid w:val="00E85860"/>
    <w:rsid w:val="00E935AD"/>
    <w:rsid w:val="00E95F16"/>
    <w:rsid w:val="00E96B27"/>
    <w:rsid w:val="00E97921"/>
    <w:rsid w:val="00E97C9B"/>
    <w:rsid w:val="00EA00F9"/>
    <w:rsid w:val="00EA255E"/>
    <w:rsid w:val="00EC29BC"/>
    <w:rsid w:val="00EC4561"/>
    <w:rsid w:val="00EC5446"/>
    <w:rsid w:val="00EC6C5B"/>
    <w:rsid w:val="00EC7018"/>
    <w:rsid w:val="00ED3A00"/>
    <w:rsid w:val="00ED5077"/>
    <w:rsid w:val="00ED543D"/>
    <w:rsid w:val="00EE090D"/>
    <w:rsid w:val="00EF5A66"/>
    <w:rsid w:val="00F02073"/>
    <w:rsid w:val="00F024A7"/>
    <w:rsid w:val="00F13A35"/>
    <w:rsid w:val="00F14430"/>
    <w:rsid w:val="00F14A8A"/>
    <w:rsid w:val="00F2314F"/>
    <w:rsid w:val="00F23D12"/>
    <w:rsid w:val="00F26B67"/>
    <w:rsid w:val="00F30A64"/>
    <w:rsid w:val="00F33721"/>
    <w:rsid w:val="00F37AF3"/>
    <w:rsid w:val="00F40D5D"/>
    <w:rsid w:val="00F43418"/>
    <w:rsid w:val="00F7448F"/>
    <w:rsid w:val="00F76CC3"/>
    <w:rsid w:val="00F87A59"/>
    <w:rsid w:val="00F94686"/>
    <w:rsid w:val="00F97141"/>
    <w:rsid w:val="00FA40F3"/>
    <w:rsid w:val="00FB2A18"/>
    <w:rsid w:val="00FB3AB3"/>
    <w:rsid w:val="00FB48F6"/>
    <w:rsid w:val="00FB5608"/>
    <w:rsid w:val="00FE0AC9"/>
    <w:rsid w:val="00FE2E4C"/>
    <w:rsid w:val="00FE3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9AFAB3"/>
  <w15:docId w15:val="{E5DDC3B1-A634-4E03-A616-5CEBF679B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29CA"/>
    <w:rPr>
      <w:rFonts w:ascii="Verdana" w:hAnsi="Verdana"/>
      <w:sz w:val="18"/>
    </w:rPr>
  </w:style>
  <w:style w:type="paragraph" w:styleId="Heading4">
    <w:name w:val="heading 4"/>
    <w:basedOn w:val="Normal"/>
    <w:link w:val="Heading4Char"/>
    <w:uiPriority w:val="9"/>
    <w:qFormat/>
    <w:rsid w:val="00B8720A"/>
    <w:pPr>
      <w:spacing w:after="150" w:line="240" w:lineRule="auto"/>
      <w:outlineLvl w:val="3"/>
    </w:pPr>
    <w:rPr>
      <w:rFonts w:ascii="Arial" w:eastAsia="Times New Roman" w:hAnsi="Arial" w:cs="Arial"/>
      <w:b/>
      <w:bCs/>
      <w:color w:val="202020"/>
      <w:sz w:val="33"/>
      <w:szCs w:val="3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729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729CA"/>
  </w:style>
  <w:style w:type="paragraph" w:styleId="Footer">
    <w:name w:val="footer"/>
    <w:basedOn w:val="Normal"/>
    <w:link w:val="FooterChar"/>
    <w:uiPriority w:val="99"/>
    <w:unhideWhenUsed/>
    <w:rsid w:val="009729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729CA"/>
  </w:style>
  <w:style w:type="paragraph" w:styleId="BalloonText">
    <w:name w:val="Balloon Text"/>
    <w:basedOn w:val="Normal"/>
    <w:link w:val="BalloonTextChar"/>
    <w:uiPriority w:val="99"/>
    <w:semiHidden/>
    <w:unhideWhenUsed/>
    <w:rsid w:val="009729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29C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23D12"/>
    <w:rPr>
      <w:color w:val="0000FF" w:themeColor="hyperlink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sid w:val="00B8720A"/>
    <w:rPr>
      <w:rFonts w:ascii="Arial" w:eastAsia="Times New Roman" w:hAnsi="Arial" w:cs="Arial"/>
      <w:b/>
      <w:bCs/>
      <w:color w:val="202020"/>
      <w:sz w:val="33"/>
      <w:szCs w:val="33"/>
    </w:rPr>
  </w:style>
  <w:style w:type="paragraph" w:customStyle="1" w:styleId="Default">
    <w:name w:val="Default"/>
    <w:rsid w:val="00B8720A"/>
    <w:pPr>
      <w:autoSpaceDE w:val="0"/>
      <w:autoSpaceDN w:val="0"/>
      <w:adjustRightInd w:val="0"/>
      <w:spacing w:after="0" w:line="240" w:lineRule="auto"/>
    </w:pPr>
    <w:rPr>
      <w:rFonts w:ascii="Tahoma" w:eastAsia="Calibri" w:hAnsi="Tahoma" w:cs="Tahoma"/>
      <w:color w:val="000000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6A2B1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A2B1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A2B1F"/>
    <w:rPr>
      <w:rFonts w:ascii="Verdana" w:hAnsi="Verdan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A2B1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A2B1F"/>
    <w:rPr>
      <w:rFonts w:ascii="Verdana" w:hAnsi="Verdana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6A2B1F"/>
    <w:pPr>
      <w:spacing w:after="0" w:line="240" w:lineRule="auto"/>
    </w:pPr>
    <w:rPr>
      <w:rFonts w:ascii="Verdana" w:hAnsi="Verdana"/>
      <w:sz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1E19EA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129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67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s://d.docs.live.net/7459ce722c49037d/Documents/www.trustcu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simpson@callahan.com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TCUgroup@trustcu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506</Words>
  <Characters>2890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Mhoopes</dc:creator>
  <cp:lastModifiedBy>Sharon Simpson</cp:lastModifiedBy>
  <cp:revision>3</cp:revision>
  <dcterms:created xsi:type="dcterms:W3CDTF">2021-06-03T16:26:00Z</dcterms:created>
  <dcterms:modified xsi:type="dcterms:W3CDTF">2021-06-03T16:27:00Z</dcterms:modified>
</cp:coreProperties>
</file>