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F90572" w14:textId="29F3C62F" w:rsidR="00AF3C58" w:rsidRDefault="009E169E" w:rsidP="00417B6C">
      <w:pPr>
        <w:pStyle w:val="Heading4"/>
        <w:rPr>
          <w:rFonts w:ascii="Verdana" w:hAnsi="Verdana"/>
          <w:color w:val="000000" w:themeColor="text1"/>
          <w:sz w:val="21"/>
        </w:rPr>
      </w:pPr>
      <w:r w:rsidRPr="009E169E">
        <w:rPr>
          <w:rFonts w:ascii="Verdana" w:eastAsia="Calibri" w:hAnsi="Verdana" w:cs="Calibri"/>
          <w:iCs/>
          <w:color w:val="000000" w:themeColor="text1"/>
          <w:sz w:val="36"/>
          <w:szCs w:val="36"/>
        </w:rPr>
        <w:t>Trust for Credit Unions</w:t>
      </w:r>
      <w:r w:rsidR="003574FE">
        <w:rPr>
          <w:rFonts w:ascii="Verdana" w:eastAsia="Calibri" w:hAnsi="Verdana" w:cs="Calibri"/>
          <w:iCs/>
          <w:color w:val="000000" w:themeColor="text1"/>
          <w:sz w:val="36"/>
          <w:szCs w:val="36"/>
        </w:rPr>
        <w:t>’</w:t>
      </w:r>
      <w:r w:rsidRPr="009E169E">
        <w:rPr>
          <w:rFonts w:ascii="Verdana" w:eastAsia="Calibri" w:hAnsi="Verdana" w:cs="Calibri"/>
          <w:iCs/>
          <w:color w:val="000000" w:themeColor="text1"/>
          <w:sz w:val="36"/>
          <w:szCs w:val="36"/>
        </w:rPr>
        <w:t xml:space="preserve"> Assets Grow Nearly 4X Faster than Total Industry Investments</w:t>
      </w:r>
    </w:p>
    <w:p w14:paraId="6EEDEEA0" w14:textId="0572078F" w:rsidR="00B8720A" w:rsidRPr="00B8720A" w:rsidRDefault="00B8720A" w:rsidP="00417B6C">
      <w:pPr>
        <w:pStyle w:val="Heading4"/>
        <w:rPr>
          <w:rFonts w:ascii="Verdana" w:hAnsi="Verdana"/>
          <w:color w:val="000000" w:themeColor="text1"/>
          <w:sz w:val="21"/>
          <w:szCs w:val="21"/>
        </w:rPr>
      </w:pPr>
      <w:r w:rsidRPr="00B8720A">
        <w:rPr>
          <w:rFonts w:ascii="Verdana" w:hAnsi="Verdana"/>
          <w:color w:val="000000" w:themeColor="text1"/>
          <w:sz w:val="21"/>
          <w:szCs w:val="21"/>
        </w:rPr>
        <w:br/>
      </w:r>
      <w:r w:rsidRPr="00B8720A">
        <w:rPr>
          <w:rFonts w:ascii="Verdana" w:hAnsi="Verdana"/>
          <w:color w:val="000000" w:themeColor="text1"/>
          <w:sz w:val="21"/>
        </w:rPr>
        <w:t>For Immediate Release:</w:t>
      </w:r>
      <w:r w:rsidRPr="00B8720A">
        <w:rPr>
          <w:rFonts w:ascii="Verdana" w:hAnsi="Verdana"/>
          <w:color w:val="000000" w:themeColor="text1"/>
          <w:sz w:val="21"/>
          <w:szCs w:val="21"/>
        </w:rPr>
        <w:t xml:space="preserve">  </w:t>
      </w:r>
      <w:r w:rsidR="004C62AB">
        <w:rPr>
          <w:rFonts w:ascii="Verdana" w:hAnsi="Verdana"/>
          <w:color w:val="000000" w:themeColor="text1"/>
          <w:sz w:val="21"/>
          <w:szCs w:val="21"/>
        </w:rPr>
        <w:t xml:space="preserve">March </w:t>
      </w:r>
      <w:r w:rsidR="001968D3">
        <w:rPr>
          <w:rFonts w:ascii="Verdana" w:hAnsi="Verdana"/>
          <w:color w:val="000000" w:themeColor="text1"/>
          <w:sz w:val="21"/>
          <w:szCs w:val="21"/>
        </w:rPr>
        <w:t>11</w:t>
      </w:r>
      <w:r w:rsidR="000C1C85">
        <w:rPr>
          <w:rFonts w:ascii="Verdana" w:hAnsi="Verdana"/>
          <w:color w:val="000000" w:themeColor="text1"/>
          <w:sz w:val="21"/>
          <w:szCs w:val="21"/>
        </w:rPr>
        <w:t>, 2021</w:t>
      </w:r>
      <w:r w:rsidRPr="00B8720A">
        <w:rPr>
          <w:rFonts w:ascii="Verdana" w:hAnsi="Verdana"/>
          <w:color w:val="000000" w:themeColor="text1"/>
          <w:sz w:val="21"/>
          <w:szCs w:val="21"/>
        </w:rPr>
        <w:br/>
      </w:r>
      <w:r w:rsidRPr="00B8720A">
        <w:rPr>
          <w:rFonts w:ascii="Verdana" w:hAnsi="Verdana"/>
          <w:color w:val="000000" w:themeColor="text1"/>
          <w:sz w:val="21"/>
        </w:rPr>
        <w:t xml:space="preserve">Contact: </w:t>
      </w:r>
      <w:r w:rsidR="0099046F">
        <w:rPr>
          <w:rFonts w:ascii="Verdana" w:hAnsi="Verdana"/>
          <w:color w:val="000000" w:themeColor="text1"/>
          <w:sz w:val="21"/>
          <w:szCs w:val="21"/>
        </w:rPr>
        <w:t>Sharon Simpson</w:t>
      </w:r>
      <w:r w:rsidRPr="00B8720A">
        <w:rPr>
          <w:rFonts w:ascii="Verdana" w:hAnsi="Verdana"/>
          <w:color w:val="000000" w:themeColor="text1"/>
          <w:sz w:val="21"/>
          <w:szCs w:val="21"/>
        </w:rPr>
        <w:t xml:space="preserve">, (202) 223-3920 or </w:t>
      </w:r>
      <w:hyperlink r:id="rId6" w:history="1">
        <w:r w:rsidR="0099046F" w:rsidRPr="00337034">
          <w:rPr>
            <w:rStyle w:val="Hyperlink"/>
            <w:rFonts w:ascii="Verdana" w:hAnsi="Verdana"/>
            <w:sz w:val="21"/>
            <w:szCs w:val="21"/>
          </w:rPr>
          <w:t>ssimpson@callahan.com</w:t>
        </w:r>
      </w:hyperlink>
      <w:r w:rsidRPr="00B8720A">
        <w:rPr>
          <w:rFonts w:ascii="Verdana" w:hAnsi="Verdana"/>
          <w:color w:val="000000" w:themeColor="text1"/>
          <w:sz w:val="21"/>
          <w:szCs w:val="21"/>
        </w:rPr>
        <w:br/>
      </w:r>
    </w:p>
    <w:p w14:paraId="3828EB8E" w14:textId="4B312BEF" w:rsidR="001942F5" w:rsidRPr="001942F5" w:rsidRDefault="00B8720A" w:rsidP="001942F5">
      <w:pPr>
        <w:spacing w:after="0" w:line="360" w:lineRule="auto"/>
        <w:rPr>
          <w:rFonts w:eastAsia="Times New Roman" w:cs="Arial"/>
          <w:color w:val="000000" w:themeColor="text1"/>
          <w:sz w:val="21"/>
          <w:szCs w:val="21"/>
        </w:rPr>
      </w:pPr>
      <w:r w:rsidRPr="00B8720A">
        <w:rPr>
          <w:rFonts w:eastAsia="Times New Roman" w:cs="Arial"/>
          <w:b/>
          <w:color w:val="000000" w:themeColor="text1"/>
          <w:sz w:val="21"/>
          <w:szCs w:val="21"/>
        </w:rPr>
        <w:t>Washington, D.C.</w:t>
      </w:r>
      <w:r w:rsidR="005A0EB6">
        <w:rPr>
          <w:rFonts w:eastAsia="Times New Roman" w:cs="Arial"/>
          <w:color w:val="000000" w:themeColor="text1"/>
          <w:sz w:val="21"/>
          <w:szCs w:val="21"/>
        </w:rPr>
        <w:t xml:space="preserve"> – </w:t>
      </w:r>
      <w:r w:rsidR="00E97921">
        <w:rPr>
          <w:rFonts w:eastAsia="Times New Roman" w:cs="Arial"/>
          <w:color w:val="000000" w:themeColor="text1"/>
          <w:sz w:val="21"/>
          <w:szCs w:val="21"/>
        </w:rPr>
        <w:t>Assets under management in the</w:t>
      </w:r>
      <w:r w:rsidR="000141D8" w:rsidRPr="000141D8">
        <w:rPr>
          <w:rFonts w:eastAsia="Times New Roman" w:cs="Arial"/>
          <w:color w:val="000000" w:themeColor="text1"/>
          <w:sz w:val="21"/>
          <w:szCs w:val="21"/>
        </w:rPr>
        <w:t xml:space="preserve"> Trust for Credit Unions (TCU), the oldest and largest mutual fund family created for and by credit unions,</w:t>
      </w:r>
      <w:r w:rsidR="009E169E">
        <w:rPr>
          <w:rFonts w:eastAsia="Times New Roman" w:cs="Arial"/>
          <w:color w:val="000000" w:themeColor="text1"/>
          <w:sz w:val="21"/>
          <w:szCs w:val="21"/>
        </w:rPr>
        <w:t xml:space="preserve"> increased by</w:t>
      </w:r>
      <w:r w:rsidR="009E169E" w:rsidRPr="009E169E">
        <w:rPr>
          <w:rFonts w:eastAsia="Times New Roman" w:cs="Arial"/>
          <w:color w:val="000000" w:themeColor="text1"/>
          <w:sz w:val="21"/>
          <w:szCs w:val="21"/>
        </w:rPr>
        <w:t xml:space="preserve"> 215% </w:t>
      </w:r>
      <w:r w:rsidR="009E169E">
        <w:rPr>
          <w:rFonts w:eastAsia="Times New Roman" w:cs="Arial"/>
          <w:color w:val="000000" w:themeColor="text1"/>
          <w:sz w:val="21"/>
          <w:szCs w:val="21"/>
        </w:rPr>
        <w:t>in 2020 compared with the industry’s total investment growth of</w:t>
      </w:r>
      <w:r w:rsidR="009E169E" w:rsidRPr="009E169E">
        <w:rPr>
          <w:rFonts w:eastAsia="Times New Roman" w:cs="Arial"/>
          <w:color w:val="000000" w:themeColor="text1"/>
          <w:sz w:val="21"/>
          <w:szCs w:val="21"/>
        </w:rPr>
        <w:t xml:space="preserve"> 55%</w:t>
      </w:r>
      <w:r w:rsidR="009E169E">
        <w:rPr>
          <w:rFonts w:eastAsia="Times New Roman" w:cs="Arial"/>
          <w:color w:val="000000" w:themeColor="text1"/>
          <w:sz w:val="21"/>
          <w:szCs w:val="21"/>
        </w:rPr>
        <w:t xml:space="preserve"> last year</w:t>
      </w:r>
      <w:r w:rsidR="000141D8" w:rsidRPr="000141D8">
        <w:rPr>
          <w:rFonts w:eastAsia="Times New Roman" w:cs="Arial"/>
          <w:color w:val="000000" w:themeColor="text1"/>
          <w:sz w:val="21"/>
          <w:szCs w:val="21"/>
        </w:rPr>
        <w:t xml:space="preserve">. </w:t>
      </w:r>
      <w:r w:rsidR="000141D8">
        <w:rPr>
          <w:rFonts w:eastAsia="Times New Roman" w:cs="Arial"/>
          <w:color w:val="000000" w:themeColor="text1"/>
          <w:sz w:val="21"/>
          <w:szCs w:val="21"/>
        </w:rPr>
        <w:t>The</w:t>
      </w:r>
      <w:r w:rsidR="000141D8" w:rsidRPr="000141D8">
        <w:rPr>
          <w:rFonts w:eastAsia="Times New Roman" w:cs="Arial"/>
          <w:color w:val="000000" w:themeColor="text1"/>
          <w:sz w:val="21"/>
          <w:szCs w:val="21"/>
        </w:rPr>
        <w:t xml:space="preserve"> two TCU bond funds, the Ultra-Short Duration and Short Duration Portfolios </w:t>
      </w:r>
      <w:r w:rsidR="000141D8">
        <w:rPr>
          <w:rFonts w:eastAsia="Times New Roman" w:cs="Arial"/>
          <w:color w:val="000000" w:themeColor="text1"/>
          <w:sz w:val="21"/>
          <w:szCs w:val="21"/>
        </w:rPr>
        <w:t>ha</w:t>
      </w:r>
      <w:r w:rsidR="00E97921">
        <w:rPr>
          <w:rFonts w:eastAsia="Times New Roman" w:cs="Arial"/>
          <w:color w:val="000000" w:themeColor="text1"/>
          <w:sz w:val="21"/>
          <w:szCs w:val="21"/>
        </w:rPr>
        <w:t>d</w:t>
      </w:r>
      <w:r w:rsidR="000141D8">
        <w:rPr>
          <w:rFonts w:eastAsia="Times New Roman" w:cs="Arial"/>
          <w:color w:val="000000" w:themeColor="text1"/>
          <w:sz w:val="21"/>
          <w:szCs w:val="21"/>
        </w:rPr>
        <w:t xml:space="preserve"> total combined assets of </w:t>
      </w:r>
      <w:r w:rsidR="00ED0B8F">
        <w:rPr>
          <w:rFonts w:eastAsia="Times New Roman" w:cs="Arial"/>
          <w:color w:val="000000" w:themeColor="text1"/>
          <w:sz w:val="21"/>
          <w:szCs w:val="21"/>
        </w:rPr>
        <w:t xml:space="preserve">over </w:t>
      </w:r>
      <w:r w:rsidR="000141D8">
        <w:rPr>
          <w:rFonts w:eastAsia="Times New Roman" w:cs="Arial"/>
          <w:color w:val="000000" w:themeColor="text1"/>
          <w:sz w:val="21"/>
          <w:szCs w:val="21"/>
        </w:rPr>
        <w:t>$</w:t>
      </w:r>
      <w:r w:rsidR="004C62AB">
        <w:rPr>
          <w:rFonts w:eastAsia="Times New Roman" w:cs="Arial"/>
          <w:color w:val="000000" w:themeColor="text1"/>
          <w:sz w:val="21"/>
          <w:szCs w:val="21"/>
        </w:rPr>
        <w:t>4</w:t>
      </w:r>
      <w:r w:rsidR="000141D8">
        <w:rPr>
          <w:rFonts w:eastAsia="Times New Roman" w:cs="Arial"/>
          <w:color w:val="000000" w:themeColor="text1"/>
          <w:sz w:val="21"/>
          <w:szCs w:val="21"/>
        </w:rPr>
        <w:t xml:space="preserve"> billion as of </w:t>
      </w:r>
      <w:r w:rsidR="004C62AB">
        <w:rPr>
          <w:rFonts w:eastAsia="Times New Roman" w:cs="Arial"/>
          <w:color w:val="000000" w:themeColor="text1"/>
          <w:sz w:val="21"/>
          <w:szCs w:val="21"/>
        </w:rPr>
        <w:t xml:space="preserve">March </w:t>
      </w:r>
      <w:r w:rsidR="001968D3">
        <w:rPr>
          <w:rFonts w:eastAsia="Times New Roman" w:cs="Arial"/>
          <w:color w:val="000000" w:themeColor="text1"/>
          <w:sz w:val="21"/>
          <w:szCs w:val="21"/>
        </w:rPr>
        <w:t>10</w:t>
      </w:r>
      <w:r w:rsidR="00E97921">
        <w:rPr>
          <w:rFonts w:eastAsia="Times New Roman" w:cs="Arial"/>
          <w:color w:val="000000" w:themeColor="text1"/>
          <w:sz w:val="21"/>
          <w:szCs w:val="21"/>
        </w:rPr>
        <w:t>, 2021</w:t>
      </w:r>
      <w:r w:rsidR="000141D8" w:rsidRPr="000141D8">
        <w:rPr>
          <w:rFonts w:eastAsia="Times New Roman" w:cs="Arial"/>
          <w:color w:val="000000" w:themeColor="text1"/>
          <w:sz w:val="21"/>
          <w:szCs w:val="21"/>
        </w:rPr>
        <w:t>.</w:t>
      </w:r>
      <w:r w:rsidR="001942F5" w:rsidRPr="001942F5">
        <w:rPr>
          <w:rFonts w:eastAsia="Times New Roman" w:cs="Arial"/>
          <w:color w:val="000000" w:themeColor="text1"/>
          <w:sz w:val="21"/>
          <w:szCs w:val="21"/>
        </w:rPr>
        <w:t xml:space="preserve"> </w:t>
      </w:r>
    </w:p>
    <w:p w14:paraId="492F26C6" w14:textId="77777777" w:rsidR="000141D8" w:rsidRPr="000141D8" w:rsidRDefault="000141D8" w:rsidP="000141D8">
      <w:pPr>
        <w:spacing w:after="0" w:line="360" w:lineRule="auto"/>
        <w:rPr>
          <w:rFonts w:eastAsia="Times New Roman" w:cs="Arial"/>
          <w:color w:val="000000" w:themeColor="text1"/>
          <w:sz w:val="21"/>
          <w:szCs w:val="21"/>
        </w:rPr>
      </w:pPr>
    </w:p>
    <w:p w14:paraId="1DF0EF71" w14:textId="77777777" w:rsidR="004C62AB" w:rsidRDefault="004C62AB" w:rsidP="000141D8">
      <w:pPr>
        <w:spacing w:after="0" w:line="360" w:lineRule="auto"/>
        <w:rPr>
          <w:rFonts w:eastAsia="Times New Roman" w:cs="Arial"/>
          <w:color w:val="000000" w:themeColor="text1"/>
          <w:sz w:val="21"/>
          <w:szCs w:val="21"/>
        </w:rPr>
      </w:pPr>
      <w:r>
        <w:rPr>
          <w:rFonts w:eastAsia="Times New Roman" w:cs="Arial"/>
          <w:color w:val="000000" w:themeColor="text1"/>
          <w:sz w:val="21"/>
          <w:szCs w:val="21"/>
        </w:rPr>
        <w:t>As credit unions seek competitive investment options to help them manage excess liquidity, TCU has welcomed a record number of new credit union investors while continuing to assist their long-time institutional investor base.</w:t>
      </w:r>
    </w:p>
    <w:p w14:paraId="4AAF54D9" w14:textId="77777777" w:rsidR="004C62AB" w:rsidRDefault="004C62AB" w:rsidP="000141D8">
      <w:pPr>
        <w:spacing w:after="0" w:line="360" w:lineRule="auto"/>
        <w:rPr>
          <w:rFonts w:eastAsia="Times New Roman" w:cs="Arial"/>
          <w:color w:val="000000" w:themeColor="text1"/>
          <w:sz w:val="21"/>
          <w:szCs w:val="21"/>
        </w:rPr>
      </w:pPr>
    </w:p>
    <w:p w14:paraId="39CED2DF" w14:textId="72BB5571" w:rsidR="004C62AB" w:rsidRDefault="004C62AB" w:rsidP="000141D8">
      <w:pPr>
        <w:spacing w:after="0" w:line="360" w:lineRule="auto"/>
        <w:rPr>
          <w:rFonts w:eastAsia="Times New Roman" w:cs="Arial"/>
          <w:color w:val="000000" w:themeColor="text1"/>
          <w:sz w:val="21"/>
          <w:szCs w:val="21"/>
        </w:rPr>
      </w:pPr>
      <w:r>
        <w:rPr>
          <w:rFonts w:eastAsia="Times New Roman" w:cs="Arial"/>
          <w:color w:val="000000" w:themeColor="text1"/>
          <w:sz w:val="21"/>
          <w:szCs w:val="21"/>
        </w:rPr>
        <w:t xml:space="preserve">“The first quarter is typically when the industry </w:t>
      </w:r>
      <w:r w:rsidR="00B06929">
        <w:rPr>
          <w:rFonts w:eastAsia="Times New Roman" w:cs="Arial"/>
          <w:color w:val="000000" w:themeColor="text1"/>
          <w:sz w:val="21"/>
          <w:szCs w:val="21"/>
        </w:rPr>
        <w:t>puts</w:t>
      </w:r>
      <w:r>
        <w:rPr>
          <w:rFonts w:eastAsia="Times New Roman" w:cs="Arial"/>
          <w:color w:val="000000" w:themeColor="text1"/>
          <w:sz w:val="21"/>
          <w:szCs w:val="21"/>
        </w:rPr>
        <w:t xml:space="preserve"> seasonal liquidity to work</w:t>
      </w:r>
      <w:r w:rsidR="00B06929">
        <w:rPr>
          <w:rFonts w:eastAsia="Times New Roman" w:cs="Arial"/>
          <w:color w:val="000000" w:themeColor="text1"/>
          <w:sz w:val="21"/>
          <w:szCs w:val="21"/>
        </w:rPr>
        <w:t>, but 2020 saw a steady increase in liquidity way beyond what is typical</w:t>
      </w:r>
      <w:r>
        <w:rPr>
          <w:rFonts w:eastAsia="Times New Roman" w:cs="Arial"/>
          <w:color w:val="000000" w:themeColor="text1"/>
          <w:sz w:val="21"/>
          <w:szCs w:val="21"/>
        </w:rPr>
        <w:t xml:space="preserve">,” says Jay Johnson, President of TCU. “With additional stimulus payments and tax refunds on the horizon, we expect </w:t>
      </w:r>
      <w:r w:rsidR="00B06929">
        <w:rPr>
          <w:rFonts w:eastAsia="Times New Roman" w:cs="Arial"/>
          <w:color w:val="000000" w:themeColor="text1"/>
          <w:sz w:val="21"/>
          <w:szCs w:val="21"/>
        </w:rPr>
        <w:t xml:space="preserve">even </w:t>
      </w:r>
      <w:r>
        <w:rPr>
          <w:rFonts w:eastAsia="Times New Roman" w:cs="Arial"/>
          <w:color w:val="000000" w:themeColor="text1"/>
          <w:sz w:val="21"/>
          <w:szCs w:val="21"/>
        </w:rPr>
        <w:t>more credit unions will benefit from the active management and simple access TCU provides.”</w:t>
      </w:r>
    </w:p>
    <w:p w14:paraId="69A815A2" w14:textId="77777777" w:rsidR="004C62AB" w:rsidRDefault="004C62AB" w:rsidP="00860777">
      <w:pPr>
        <w:spacing w:after="0" w:line="360" w:lineRule="auto"/>
        <w:rPr>
          <w:rFonts w:eastAsia="Times New Roman" w:cs="Arial"/>
          <w:color w:val="000000" w:themeColor="text1"/>
          <w:sz w:val="21"/>
          <w:szCs w:val="21"/>
        </w:rPr>
      </w:pPr>
    </w:p>
    <w:p w14:paraId="0D8B0FAE" w14:textId="626300EE" w:rsidR="00123137" w:rsidRDefault="005A2FC0" w:rsidP="00860777">
      <w:pPr>
        <w:spacing w:after="0" w:line="360" w:lineRule="auto"/>
        <w:rPr>
          <w:rFonts w:eastAsia="Times New Roman" w:cs="Arial"/>
          <w:color w:val="000000" w:themeColor="text1"/>
          <w:sz w:val="21"/>
          <w:szCs w:val="21"/>
        </w:rPr>
      </w:pPr>
      <w:r>
        <w:rPr>
          <w:rFonts w:eastAsia="Times New Roman" w:cs="Arial"/>
          <w:color w:val="000000" w:themeColor="text1"/>
          <w:sz w:val="21"/>
          <w:szCs w:val="21"/>
        </w:rPr>
        <w:t>TCU was founded</w:t>
      </w:r>
      <w:r w:rsidR="001942F5">
        <w:rPr>
          <w:rFonts w:eastAsia="Times New Roman" w:cs="Arial"/>
          <w:color w:val="000000" w:themeColor="text1"/>
          <w:sz w:val="21"/>
          <w:szCs w:val="21"/>
        </w:rPr>
        <w:t xml:space="preserve"> </w:t>
      </w:r>
      <w:r>
        <w:rPr>
          <w:rFonts w:eastAsia="Times New Roman" w:cs="Arial"/>
          <w:color w:val="000000" w:themeColor="text1"/>
          <w:sz w:val="21"/>
          <w:szCs w:val="21"/>
        </w:rPr>
        <w:t>to provide competitive investment alternatives for credit unions</w:t>
      </w:r>
      <w:r w:rsidRPr="005A2FC0">
        <w:rPr>
          <w:rFonts w:eastAsia="Times New Roman" w:cs="Arial"/>
          <w:color w:val="000000" w:themeColor="text1"/>
          <w:sz w:val="21"/>
          <w:szCs w:val="21"/>
        </w:rPr>
        <w:t>.</w:t>
      </w:r>
      <w:r>
        <w:rPr>
          <w:rFonts w:eastAsia="Times New Roman" w:cs="Arial"/>
          <w:color w:val="000000" w:themeColor="text1"/>
          <w:sz w:val="21"/>
          <w:szCs w:val="21"/>
        </w:rPr>
        <w:t xml:space="preserve"> </w:t>
      </w:r>
      <w:r w:rsidR="00123137" w:rsidRPr="00EE090D">
        <w:rPr>
          <w:rFonts w:eastAsia="Times New Roman" w:cs="Arial"/>
          <w:color w:val="000000" w:themeColor="text1"/>
          <w:sz w:val="21"/>
          <w:szCs w:val="21"/>
        </w:rPr>
        <w:t xml:space="preserve">The </w:t>
      </w:r>
      <w:r w:rsidR="00BE59B5" w:rsidRPr="00EE090D">
        <w:rPr>
          <w:rFonts w:eastAsia="Times New Roman" w:cs="Arial"/>
          <w:color w:val="000000" w:themeColor="text1"/>
          <w:sz w:val="21"/>
          <w:szCs w:val="21"/>
        </w:rPr>
        <w:t>TCU Short-Duration Portfolio, which targets a two-year duration,</w:t>
      </w:r>
      <w:r w:rsidR="001D3197" w:rsidRPr="00EE090D">
        <w:rPr>
          <w:rFonts w:eastAsia="Times New Roman" w:cs="Arial"/>
          <w:color w:val="000000" w:themeColor="text1"/>
          <w:sz w:val="21"/>
          <w:szCs w:val="21"/>
        </w:rPr>
        <w:t xml:space="preserve"> </w:t>
      </w:r>
      <w:r w:rsidR="00EA255E" w:rsidRPr="00EE090D">
        <w:rPr>
          <w:rFonts w:eastAsia="Times New Roman" w:cs="Arial"/>
          <w:color w:val="000000" w:themeColor="text1"/>
          <w:sz w:val="21"/>
          <w:szCs w:val="21"/>
        </w:rPr>
        <w:t xml:space="preserve">had a 30-day yield of </w:t>
      </w:r>
      <w:r w:rsidR="00C35FDD" w:rsidRPr="001A1031">
        <w:rPr>
          <w:rFonts w:eastAsia="Times New Roman" w:cs="Arial"/>
          <w:b/>
          <w:bCs/>
          <w:color w:val="000000" w:themeColor="text1"/>
          <w:sz w:val="21"/>
          <w:szCs w:val="21"/>
        </w:rPr>
        <w:t>0.</w:t>
      </w:r>
      <w:r w:rsidR="00ED0B8F">
        <w:rPr>
          <w:rFonts w:eastAsia="Times New Roman" w:cs="Arial"/>
          <w:b/>
          <w:bCs/>
          <w:color w:val="000000" w:themeColor="text1"/>
          <w:sz w:val="21"/>
          <w:szCs w:val="21"/>
        </w:rPr>
        <w:t>55</w:t>
      </w:r>
      <w:r w:rsidR="00EA255E" w:rsidRPr="001A1031">
        <w:rPr>
          <w:rFonts w:eastAsia="Times New Roman" w:cs="Arial"/>
          <w:b/>
          <w:bCs/>
          <w:color w:val="000000" w:themeColor="text1"/>
          <w:sz w:val="21"/>
          <w:szCs w:val="21"/>
        </w:rPr>
        <w:t>%</w:t>
      </w:r>
      <w:r w:rsidR="00EA255E" w:rsidRPr="001A1031">
        <w:rPr>
          <w:rFonts w:eastAsia="Times New Roman" w:cs="Arial"/>
          <w:color w:val="000000" w:themeColor="text1"/>
          <w:sz w:val="21"/>
          <w:szCs w:val="21"/>
        </w:rPr>
        <w:t xml:space="preserve">* </w:t>
      </w:r>
      <w:r w:rsidR="00C35FDD" w:rsidRPr="001A1031">
        <w:rPr>
          <w:rFonts w:eastAsia="Times New Roman" w:cs="Arial"/>
          <w:color w:val="000000" w:themeColor="text1"/>
          <w:sz w:val="21"/>
          <w:szCs w:val="21"/>
        </w:rPr>
        <w:t xml:space="preserve">as of </w:t>
      </w:r>
      <w:r w:rsidR="004C62AB">
        <w:rPr>
          <w:rFonts w:eastAsia="Times New Roman" w:cs="Arial"/>
          <w:color w:val="000000" w:themeColor="text1"/>
          <w:sz w:val="21"/>
          <w:szCs w:val="21"/>
        </w:rPr>
        <w:t xml:space="preserve">March </w:t>
      </w:r>
      <w:r w:rsidR="00ED0B8F">
        <w:rPr>
          <w:rFonts w:eastAsia="Times New Roman" w:cs="Arial"/>
          <w:color w:val="000000" w:themeColor="text1"/>
          <w:sz w:val="21"/>
          <w:szCs w:val="21"/>
        </w:rPr>
        <w:t>10</w:t>
      </w:r>
      <w:r w:rsidR="00C35FDD" w:rsidRPr="001A1031">
        <w:rPr>
          <w:rFonts w:eastAsia="Times New Roman" w:cs="Arial"/>
          <w:color w:val="000000" w:themeColor="text1"/>
          <w:sz w:val="21"/>
          <w:szCs w:val="21"/>
        </w:rPr>
        <w:t>, 202</w:t>
      </w:r>
      <w:r w:rsidR="001942F5" w:rsidRPr="001A1031">
        <w:rPr>
          <w:rFonts w:eastAsia="Times New Roman" w:cs="Arial"/>
          <w:color w:val="000000" w:themeColor="text1"/>
          <w:sz w:val="21"/>
          <w:szCs w:val="21"/>
        </w:rPr>
        <w:t>1</w:t>
      </w:r>
      <w:r w:rsidR="00C35FDD" w:rsidRPr="001A1031">
        <w:rPr>
          <w:rFonts w:eastAsia="Times New Roman" w:cs="Arial"/>
          <w:color w:val="000000" w:themeColor="text1"/>
          <w:sz w:val="21"/>
          <w:szCs w:val="21"/>
        </w:rPr>
        <w:t xml:space="preserve"> while the</w:t>
      </w:r>
      <w:r w:rsidR="00C35FDD" w:rsidRPr="001A1031">
        <w:t xml:space="preserve"> </w:t>
      </w:r>
      <w:r w:rsidR="00C35FDD" w:rsidRPr="001A1031">
        <w:rPr>
          <w:rFonts w:eastAsia="Times New Roman" w:cs="Arial"/>
          <w:color w:val="000000" w:themeColor="text1"/>
          <w:sz w:val="21"/>
          <w:szCs w:val="21"/>
        </w:rPr>
        <w:t xml:space="preserve">TCU Ultra-Short Duration Portfolio, which targets a three month duration, had a 30-day yield of </w:t>
      </w:r>
      <w:r w:rsidR="00C35FDD" w:rsidRPr="001A1031">
        <w:rPr>
          <w:rFonts w:eastAsia="Times New Roman" w:cs="Arial"/>
          <w:b/>
          <w:bCs/>
          <w:color w:val="000000" w:themeColor="text1"/>
          <w:sz w:val="21"/>
          <w:szCs w:val="21"/>
        </w:rPr>
        <w:t>0.</w:t>
      </w:r>
      <w:r w:rsidR="00ED0B8F">
        <w:rPr>
          <w:rFonts w:eastAsia="Times New Roman" w:cs="Arial"/>
          <w:b/>
          <w:bCs/>
          <w:color w:val="000000" w:themeColor="text1"/>
          <w:sz w:val="21"/>
          <w:szCs w:val="21"/>
        </w:rPr>
        <w:t>31</w:t>
      </w:r>
      <w:r w:rsidR="00C35FDD" w:rsidRPr="001A1031">
        <w:rPr>
          <w:rFonts w:eastAsia="Times New Roman" w:cs="Arial"/>
          <w:b/>
          <w:bCs/>
          <w:color w:val="000000" w:themeColor="text1"/>
          <w:sz w:val="21"/>
          <w:szCs w:val="21"/>
        </w:rPr>
        <w:t>%</w:t>
      </w:r>
      <w:r w:rsidR="00C35FDD" w:rsidRPr="001A1031">
        <w:rPr>
          <w:rFonts w:eastAsia="Times New Roman" w:cs="Arial"/>
          <w:color w:val="000000" w:themeColor="text1"/>
          <w:sz w:val="21"/>
          <w:szCs w:val="21"/>
        </w:rPr>
        <w:t>* over the same period.</w:t>
      </w:r>
      <w:r w:rsidR="004C62AB">
        <w:rPr>
          <w:rFonts w:eastAsia="Times New Roman" w:cs="Arial"/>
          <w:color w:val="000000" w:themeColor="text1"/>
          <w:sz w:val="21"/>
          <w:szCs w:val="21"/>
        </w:rPr>
        <w:t xml:space="preserve"> Both funds offer next-day liquidity, feature no minimums or maximum investment amounts, and have no tiers.</w:t>
      </w:r>
    </w:p>
    <w:p w14:paraId="3A721D9D" w14:textId="77777777" w:rsidR="00123137" w:rsidRDefault="00123137" w:rsidP="00860777">
      <w:pPr>
        <w:spacing w:after="0" w:line="360" w:lineRule="auto"/>
        <w:rPr>
          <w:rFonts w:eastAsia="Times New Roman" w:cs="Arial"/>
          <w:color w:val="000000" w:themeColor="text1"/>
          <w:sz w:val="21"/>
          <w:szCs w:val="21"/>
        </w:rPr>
      </w:pPr>
    </w:p>
    <w:p w14:paraId="6156679C" w14:textId="6DF3BFC3" w:rsidR="00860777" w:rsidRDefault="00860777" w:rsidP="00860777">
      <w:pPr>
        <w:spacing w:after="0" w:line="360" w:lineRule="auto"/>
        <w:rPr>
          <w:rFonts w:eastAsia="Times New Roman" w:cs="Arial"/>
          <w:color w:val="000000" w:themeColor="text1"/>
          <w:sz w:val="21"/>
          <w:szCs w:val="21"/>
        </w:rPr>
      </w:pPr>
      <w:r w:rsidRPr="00860777">
        <w:rPr>
          <w:rFonts w:eastAsia="Times New Roman" w:cs="Arial"/>
          <w:color w:val="000000" w:themeColor="text1"/>
          <w:sz w:val="21"/>
          <w:szCs w:val="21"/>
        </w:rPr>
        <w:lastRenderedPageBreak/>
        <w:t>ALM First Financial</w:t>
      </w:r>
      <w:r w:rsidR="00EF5A66">
        <w:rPr>
          <w:rFonts w:eastAsia="Times New Roman" w:cs="Arial"/>
          <w:color w:val="000000" w:themeColor="text1"/>
          <w:sz w:val="21"/>
          <w:szCs w:val="21"/>
        </w:rPr>
        <w:t xml:space="preserve"> </w:t>
      </w:r>
      <w:r w:rsidRPr="00860777">
        <w:rPr>
          <w:rFonts w:eastAsia="Times New Roman" w:cs="Arial"/>
          <w:color w:val="000000" w:themeColor="text1"/>
          <w:sz w:val="21"/>
          <w:szCs w:val="21"/>
        </w:rPr>
        <w:t xml:space="preserve">Advisors </w:t>
      </w:r>
      <w:r w:rsidR="005A5324">
        <w:rPr>
          <w:rFonts w:eastAsia="Times New Roman" w:cs="Arial"/>
          <w:color w:val="000000" w:themeColor="text1"/>
          <w:sz w:val="21"/>
          <w:szCs w:val="21"/>
        </w:rPr>
        <w:t>serves as the</w:t>
      </w:r>
      <w:r w:rsidRPr="00860777">
        <w:rPr>
          <w:rFonts w:eastAsia="Times New Roman" w:cs="Arial"/>
          <w:color w:val="000000" w:themeColor="text1"/>
          <w:sz w:val="21"/>
          <w:szCs w:val="21"/>
        </w:rPr>
        <w:t xml:space="preserve"> funds’ investment advisor</w:t>
      </w:r>
      <w:r w:rsidR="005A5324">
        <w:rPr>
          <w:rFonts w:eastAsia="Times New Roman" w:cs="Arial"/>
          <w:color w:val="000000" w:themeColor="text1"/>
          <w:sz w:val="21"/>
          <w:szCs w:val="21"/>
        </w:rPr>
        <w:t xml:space="preserve">, </w:t>
      </w:r>
      <w:r w:rsidR="00B35690">
        <w:rPr>
          <w:rFonts w:eastAsia="Times New Roman" w:cs="Arial"/>
          <w:color w:val="000000" w:themeColor="text1"/>
          <w:sz w:val="21"/>
          <w:szCs w:val="21"/>
        </w:rPr>
        <w:t>provid</w:t>
      </w:r>
      <w:r w:rsidR="005A5324">
        <w:rPr>
          <w:rFonts w:eastAsia="Times New Roman" w:cs="Arial"/>
          <w:color w:val="000000" w:themeColor="text1"/>
          <w:sz w:val="21"/>
          <w:szCs w:val="21"/>
        </w:rPr>
        <w:t>ing</w:t>
      </w:r>
      <w:r w:rsidR="00B35690">
        <w:rPr>
          <w:rFonts w:eastAsia="Times New Roman" w:cs="Arial"/>
          <w:color w:val="000000" w:themeColor="text1"/>
          <w:sz w:val="21"/>
          <w:szCs w:val="21"/>
        </w:rPr>
        <w:t xml:space="preserve"> ongoing </w:t>
      </w:r>
      <w:r w:rsidR="00F14A8A">
        <w:rPr>
          <w:rFonts w:eastAsia="Times New Roman" w:cs="Arial"/>
          <w:color w:val="000000" w:themeColor="text1"/>
          <w:sz w:val="21"/>
          <w:szCs w:val="21"/>
        </w:rPr>
        <w:t xml:space="preserve">economic updates and </w:t>
      </w:r>
      <w:r w:rsidR="00282B11">
        <w:rPr>
          <w:rFonts w:eastAsia="Times New Roman" w:cs="Arial"/>
          <w:color w:val="000000" w:themeColor="text1"/>
          <w:sz w:val="21"/>
          <w:szCs w:val="21"/>
        </w:rPr>
        <w:t xml:space="preserve">timely </w:t>
      </w:r>
      <w:r w:rsidR="00B35690">
        <w:rPr>
          <w:rFonts w:eastAsia="Times New Roman" w:cs="Arial"/>
          <w:color w:val="000000" w:themeColor="text1"/>
          <w:sz w:val="21"/>
          <w:szCs w:val="21"/>
        </w:rPr>
        <w:t>educational resources</w:t>
      </w:r>
      <w:r w:rsidRPr="00860777">
        <w:rPr>
          <w:rFonts w:eastAsia="Times New Roman" w:cs="Arial"/>
          <w:color w:val="000000" w:themeColor="text1"/>
          <w:sz w:val="21"/>
          <w:szCs w:val="21"/>
        </w:rPr>
        <w:t xml:space="preserve"> to </w:t>
      </w:r>
      <w:r w:rsidR="005A5324">
        <w:rPr>
          <w:rFonts w:eastAsia="Times New Roman" w:cs="Arial"/>
          <w:color w:val="000000" w:themeColor="text1"/>
          <w:sz w:val="21"/>
          <w:szCs w:val="21"/>
        </w:rPr>
        <w:t>benefit</w:t>
      </w:r>
      <w:r w:rsidR="00EF5A66">
        <w:rPr>
          <w:rFonts w:eastAsia="Times New Roman" w:cs="Arial"/>
          <w:color w:val="000000" w:themeColor="text1"/>
          <w:sz w:val="21"/>
          <w:szCs w:val="21"/>
        </w:rPr>
        <w:t xml:space="preserve"> </w:t>
      </w:r>
      <w:r w:rsidR="00F14A8A">
        <w:rPr>
          <w:rFonts w:eastAsia="Times New Roman" w:cs="Arial"/>
          <w:color w:val="000000" w:themeColor="text1"/>
          <w:sz w:val="21"/>
          <w:szCs w:val="21"/>
        </w:rPr>
        <w:t>both current and potential i</w:t>
      </w:r>
      <w:r w:rsidRPr="00860777">
        <w:rPr>
          <w:rFonts w:eastAsia="Times New Roman" w:cs="Arial"/>
          <w:color w:val="000000" w:themeColor="text1"/>
          <w:sz w:val="21"/>
          <w:szCs w:val="21"/>
        </w:rPr>
        <w:t>nvestors.</w:t>
      </w:r>
    </w:p>
    <w:p w14:paraId="5BFAA42D" w14:textId="77777777" w:rsidR="00EF5A66" w:rsidRPr="00860777" w:rsidRDefault="00EF5A66" w:rsidP="00860777">
      <w:pPr>
        <w:spacing w:after="0" w:line="360" w:lineRule="auto"/>
        <w:rPr>
          <w:rFonts w:eastAsia="Times New Roman" w:cs="Arial"/>
          <w:color w:val="000000" w:themeColor="text1"/>
          <w:sz w:val="21"/>
          <w:szCs w:val="21"/>
        </w:rPr>
      </w:pPr>
    </w:p>
    <w:p w14:paraId="10179EDD" w14:textId="45CE34A0" w:rsidR="00CE4663" w:rsidRDefault="00B05EBF" w:rsidP="00860777">
      <w:pPr>
        <w:spacing w:after="0" w:line="360" w:lineRule="auto"/>
        <w:rPr>
          <w:rFonts w:eastAsia="Times New Roman" w:cs="Arial"/>
          <w:color w:val="000000" w:themeColor="text1"/>
          <w:sz w:val="21"/>
          <w:szCs w:val="21"/>
        </w:rPr>
      </w:pPr>
      <w:r w:rsidRPr="00B05EBF">
        <w:rPr>
          <w:rFonts w:eastAsia="Times New Roman" w:cs="Arial"/>
          <w:color w:val="000000" w:themeColor="text1"/>
          <w:sz w:val="21"/>
          <w:szCs w:val="21"/>
        </w:rPr>
        <w:t>“Our team has decades of experience assisting credit unions with their unique investment needs. With interest rates at record lows, and liquidity rapidly increasing, our active management has helped TCU deliver competitive performance</w:t>
      </w:r>
      <w:r w:rsidR="00F1293D">
        <w:rPr>
          <w:rFonts w:eastAsia="Times New Roman" w:cs="Arial"/>
          <w:color w:val="000000" w:themeColor="text1"/>
          <w:sz w:val="21"/>
          <w:szCs w:val="21"/>
        </w:rPr>
        <w:t xml:space="preserve">,” </w:t>
      </w:r>
      <w:r w:rsidR="00583917" w:rsidRPr="00583917">
        <w:rPr>
          <w:rFonts w:eastAsia="Times New Roman" w:cs="Arial"/>
          <w:color w:val="000000" w:themeColor="text1"/>
          <w:sz w:val="21"/>
          <w:szCs w:val="21"/>
        </w:rPr>
        <w:t xml:space="preserve">says Jason Haley, Chief Investment Officer for ALM First. </w:t>
      </w:r>
      <w:r w:rsidR="00F1293D">
        <w:rPr>
          <w:rFonts w:eastAsia="Times New Roman" w:cs="Arial"/>
          <w:color w:val="000000" w:themeColor="text1"/>
          <w:sz w:val="21"/>
          <w:szCs w:val="21"/>
        </w:rPr>
        <w:t>“</w:t>
      </w:r>
      <w:r w:rsidRPr="00B05EBF">
        <w:rPr>
          <w:rFonts w:eastAsia="Times New Roman" w:cs="Arial"/>
          <w:color w:val="000000" w:themeColor="text1"/>
          <w:sz w:val="21"/>
          <w:szCs w:val="21"/>
        </w:rPr>
        <w:t>When managed properly, investment income can help credit unions better serve their membership</w:t>
      </w:r>
      <w:r w:rsidR="00F1293D">
        <w:rPr>
          <w:rFonts w:eastAsia="Times New Roman" w:cs="Arial"/>
          <w:color w:val="000000" w:themeColor="text1"/>
          <w:sz w:val="21"/>
          <w:szCs w:val="21"/>
        </w:rPr>
        <w:t>.</w:t>
      </w:r>
      <w:r w:rsidR="00583917" w:rsidRPr="00583917">
        <w:rPr>
          <w:rFonts w:eastAsia="Times New Roman" w:cs="Arial"/>
          <w:color w:val="000000" w:themeColor="text1"/>
          <w:sz w:val="21"/>
          <w:szCs w:val="21"/>
        </w:rPr>
        <w:t xml:space="preserve">”  </w:t>
      </w:r>
    </w:p>
    <w:p w14:paraId="435EE826" w14:textId="77777777" w:rsidR="00583917" w:rsidRDefault="00583917" w:rsidP="00860777">
      <w:pPr>
        <w:spacing w:after="0" w:line="360" w:lineRule="auto"/>
        <w:rPr>
          <w:rFonts w:eastAsia="Times New Roman" w:cs="Arial"/>
          <w:color w:val="000000" w:themeColor="text1"/>
          <w:sz w:val="21"/>
          <w:szCs w:val="21"/>
        </w:rPr>
      </w:pPr>
    </w:p>
    <w:p w14:paraId="6BB9D18C" w14:textId="41E6B980" w:rsidR="00BC7CCD" w:rsidRDefault="002A2B1C" w:rsidP="00860777">
      <w:pPr>
        <w:spacing w:after="0" w:line="360" w:lineRule="auto"/>
        <w:rPr>
          <w:rFonts w:cs="Arial"/>
          <w:color w:val="000000" w:themeColor="text1"/>
          <w:sz w:val="21"/>
          <w:szCs w:val="21"/>
        </w:rPr>
      </w:pPr>
      <w:r w:rsidRPr="002A2B1C">
        <w:rPr>
          <w:rFonts w:eastAsia="Times New Roman" w:cs="Arial"/>
          <w:color w:val="000000" w:themeColor="text1"/>
          <w:sz w:val="21"/>
          <w:szCs w:val="21"/>
        </w:rPr>
        <w:t xml:space="preserve">TCU helps credit unions succeed by providing a professionally managed family of mutual funds --- exclusive to credit unions --- as well as the information and analysis they need to support investment decisions. Created by leading credit </w:t>
      </w:r>
      <w:r w:rsidR="00354F5E" w:rsidRPr="00354F5E">
        <w:rPr>
          <w:rFonts w:cs="Arial"/>
          <w:color w:val="000000" w:themeColor="text1"/>
          <w:sz w:val="21"/>
          <w:szCs w:val="21"/>
        </w:rPr>
        <w:t>unions with oversight by a board of trustees, TCU’s mutual fund options are professionally managed</w:t>
      </w:r>
      <w:r w:rsidR="00AB1702">
        <w:rPr>
          <w:rFonts w:cs="Arial"/>
          <w:color w:val="000000" w:themeColor="text1"/>
          <w:sz w:val="21"/>
          <w:szCs w:val="21"/>
        </w:rPr>
        <w:t xml:space="preserve"> </w:t>
      </w:r>
      <w:r w:rsidR="00354F5E" w:rsidRPr="00354F5E">
        <w:rPr>
          <w:rFonts w:cs="Arial"/>
          <w:color w:val="000000" w:themeColor="text1"/>
          <w:sz w:val="21"/>
          <w:szCs w:val="21"/>
        </w:rPr>
        <w:t xml:space="preserve">and are based on the cooperative values of credit unions. </w:t>
      </w:r>
    </w:p>
    <w:p w14:paraId="39AD9B3D" w14:textId="77777777" w:rsidR="003F7593" w:rsidRPr="003818DE" w:rsidRDefault="003F7593" w:rsidP="00860777">
      <w:pPr>
        <w:spacing w:after="0" w:line="360" w:lineRule="auto"/>
        <w:rPr>
          <w:rFonts w:eastAsia="Times New Roman" w:cs="Arial"/>
          <w:color w:val="000000" w:themeColor="text1"/>
          <w:sz w:val="21"/>
          <w:szCs w:val="21"/>
        </w:rPr>
      </w:pPr>
    </w:p>
    <w:p w14:paraId="025C4B47" w14:textId="670DA0F3" w:rsidR="00354F5E" w:rsidRDefault="00354F5E" w:rsidP="00354F5E">
      <w:pPr>
        <w:spacing w:line="360" w:lineRule="auto"/>
        <w:rPr>
          <w:rFonts w:cs="Arial"/>
          <w:color w:val="000000" w:themeColor="text1"/>
          <w:sz w:val="21"/>
          <w:szCs w:val="21"/>
        </w:rPr>
      </w:pPr>
      <w:r w:rsidRPr="00354F5E">
        <w:rPr>
          <w:rFonts w:cs="Arial"/>
          <w:color w:val="000000" w:themeColor="text1"/>
          <w:sz w:val="21"/>
          <w:szCs w:val="21"/>
        </w:rPr>
        <w:t xml:space="preserve">In addition to the mutual fund products TCU offers, credit union professionals can also take advantage of a wide range of educational investment information and resources, including daily and monthly market commentaries. For more information, visit </w:t>
      </w:r>
      <w:hyperlink r:id="rId7" w:history="1">
        <w:r w:rsidRPr="00A362A8">
          <w:rPr>
            <w:rStyle w:val="Hyperlink"/>
            <w:rFonts w:cs="Arial"/>
            <w:sz w:val="21"/>
            <w:szCs w:val="21"/>
          </w:rPr>
          <w:t>www.trustcu.com</w:t>
        </w:r>
      </w:hyperlink>
      <w:r w:rsidRPr="00354F5E">
        <w:rPr>
          <w:rFonts w:cs="Arial"/>
          <w:color w:val="000000" w:themeColor="text1"/>
          <w:sz w:val="21"/>
          <w:szCs w:val="21"/>
        </w:rPr>
        <w:t xml:space="preserve"> or contact TCU at 800-</w:t>
      </w:r>
      <w:r w:rsidR="00A362A8">
        <w:rPr>
          <w:rFonts w:cs="Arial"/>
          <w:color w:val="000000" w:themeColor="text1"/>
          <w:sz w:val="21"/>
          <w:szCs w:val="21"/>
        </w:rPr>
        <w:t>237</w:t>
      </w:r>
      <w:r w:rsidRPr="00354F5E">
        <w:rPr>
          <w:rFonts w:cs="Arial"/>
          <w:color w:val="000000" w:themeColor="text1"/>
          <w:sz w:val="21"/>
          <w:szCs w:val="21"/>
        </w:rPr>
        <w:t>-5678.</w:t>
      </w:r>
    </w:p>
    <w:p w14:paraId="18951A22" w14:textId="6CBBF96A" w:rsidR="00F2314F" w:rsidRPr="00F2314F" w:rsidRDefault="00F2314F" w:rsidP="00354F5E">
      <w:pPr>
        <w:spacing w:line="360" w:lineRule="auto"/>
        <w:rPr>
          <w:rFonts w:cs="Calibri"/>
          <w:b/>
          <w:bCs/>
          <w:color w:val="000000" w:themeColor="text1"/>
          <w:szCs w:val="18"/>
        </w:rPr>
      </w:pPr>
      <w:r w:rsidRPr="00F2314F">
        <w:rPr>
          <w:rFonts w:cs="Calibri"/>
          <w:b/>
          <w:bCs/>
          <w:color w:val="000000" w:themeColor="text1"/>
          <w:szCs w:val="18"/>
        </w:rPr>
        <w:t>About T</w:t>
      </w:r>
      <w:r w:rsidR="00A34B04">
        <w:rPr>
          <w:rFonts w:cs="Calibri"/>
          <w:b/>
          <w:bCs/>
          <w:color w:val="000000" w:themeColor="text1"/>
          <w:szCs w:val="18"/>
        </w:rPr>
        <w:t>rust for Credit Unions</w:t>
      </w:r>
    </w:p>
    <w:p w14:paraId="2B184BFE" w14:textId="21012AB8" w:rsidR="00B8720A" w:rsidRDefault="00B8720A" w:rsidP="00B8720A">
      <w:pPr>
        <w:rPr>
          <w:rFonts w:cs="Calibri"/>
          <w:color w:val="000000" w:themeColor="text1"/>
          <w:szCs w:val="18"/>
        </w:rPr>
      </w:pPr>
      <w:r w:rsidRPr="00F2314F">
        <w:rPr>
          <w:rFonts w:cs="Calibri"/>
          <w:bCs/>
          <w:color w:val="000000" w:themeColor="text1"/>
          <w:szCs w:val="18"/>
        </w:rPr>
        <w:t xml:space="preserve">The Trust for Credit Unions (TCU) </w:t>
      </w:r>
      <w:r w:rsidRPr="00F2314F">
        <w:rPr>
          <w:rFonts w:cs="Calibri"/>
          <w:color w:val="000000" w:themeColor="text1"/>
          <w:szCs w:val="18"/>
        </w:rPr>
        <w:t xml:space="preserve">is a family of institutional mutual funds offered exclusively to credit unions. </w:t>
      </w:r>
      <w:r w:rsidRPr="00F2314F">
        <w:rPr>
          <w:rFonts w:cs="Calibri"/>
          <w:bCs/>
          <w:color w:val="000000" w:themeColor="text1"/>
          <w:szCs w:val="18"/>
        </w:rPr>
        <w:t>Callahan Financial Services</w:t>
      </w:r>
      <w:r w:rsidRPr="00B8720A">
        <w:rPr>
          <w:rFonts w:cs="Calibri"/>
          <w:b/>
          <w:bCs/>
          <w:color w:val="000000" w:themeColor="text1"/>
          <w:szCs w:val="18"/>
        </w:rPr>
        <w:t xml:space="preserve"> </w:t>
      </w:r>
      <w:r w:rsidRPr="00B8720A">
        <w:rPr>
          <w:rFonts w:cs="Calibri"/>
          <w:color w:val="000000" w:themeColor="text1"/>
          <w:szCs w:val="18"/>
        </w:rPr>
        <w:t xml:space="preserve">is a wholly owned subsidiary of Callahan &amp; Associates and is the distributor of the TCU mutual funds. </w:t>
      </w:r>
      <w:r w:rsidR="002D37B4">
        <w:rPr>
          <w:rFonts w:cs="Calibri"/>
          <w:color w:val="000000" w:themeColor="text1"/>
          <w:szCs w:val="18"/>
        </w:rPr>
        <w:t>ALM First Financial Advisors, LLC</w:t>
      </w:r>
      <w:r w:rsidRPr="00B8720A">
        <w:rPr>
          <w:rFonts w:cs="Calibri"/>
          <w:color w:val="000000" w:themeColor="text1"/>
          <w:szCs w:val="18"/>
        </w:rPr>
        <w:t xml:space="preserve"> is the investment adviser of the TCU mutual funds. To obtain a prospectus that contains detailed fund information including investment policies, risk considerations, charges and expenses, call Callahan Financial Services, Inc. at 800-CFS-5678. Please read the prospectus carefully.</w:t>
      </w:r>
    </w:p>
    <w:p w14:paraId="44D0A47E" w14:textId="7B3DD32A" w:rsidR="002779B9" w:rsidRDefault="00906A5B" w:rsidP="00B8720A">
      <w:pPr>
        <w:rPr>
          <w:rFonts w:cs="Calibri"/>
          <w:color w:val="000000" w:themeColor="text1"/>
          <w:szCs w:val="18"/>
        </w:rPr>
      </w:pPr>
      <w:r w:rsidRPr="00906A5B">
        <w:rPr>
          <w:rFonts w:cs="Calibri"/>
          <w:color w:val="000000" w:themeColor="text1"/>
          <w:szCs w:val="18"/>
        </w:rPr>
        <w:t>*The yields reflect the 30-day Effective Yield (net of fees/expenses). For questions please call the TCU Group at 1-800-237-5678.</w:t>
      </w:r>
    </w:p>
    <w:p w14:paraId="40AAC9AA" w14:textId="17068939" w:rsidR="00BB474E" w:rsidRPr="00DB2554" w:rsidRDefault="00B8720A" w:rsidP="00DB2554">
      <w:pPr>
        <w:spacing w:line="360" w:lineRule="auto"/>
        <w:jc w:val="center"/>
        <w:rPr>
          <w:color w:val="595959" w:themeColor="text1" w:themeTint="A6"/>
        </w:rPr>
      </w:pPr>
      <w:r w:rsidRPr="00B8720A">
        <w:rPr>
          <w:color w:val="595959" w:themeColor="text1" w:themeTint="A6"/>
        </w:rPr>
        <w:t># # #</w:t>
      </w:r>
    </w:p>
    <w:sectPr w:rsidR="00BB474E" w:rsidRPr="00DB2554" w:rsidSect="009729CA">
      <w:headerReference w:type="default" r:id="rId8"/>
      <w:footerReference w:type="default" r:id="rId9"/>
      <w:pgSz w:w="12240" w:h="15840"/>
      <w:pgMar w:top="32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E43898" w14:textId="77777777" w:rsidR="006B5DA9" w:rsidRDefault="006B5DA9" w:rsidP="009729CA">
      <w:pPr>
        <w:spacing w:after="0" w:line="240" w:lineRule="auto"/>
      </w:pPr>
      <w:r>
        <w:separator/>
      </w:r>
    </w:p>
  </w:endnote>
  <w:endnote w:type="continuationSeparator" w:id="0">
    <w:p w14:paraId="645FCFBF" w14:textId="77777777" w:rsidR="006B5DA9" w:rsidRDefault="006B5DA9" w:rsidP="009729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F20967" w14:textId="77777777" w:rsidR="00F23D12" w:rsidRPr="00F23D12" w:rsidRDefault="00F23D12">
    <w:pPr>
      <w:pStyle w:val="Footer"/>
      <w:rPr>
        <w:sz w:val="14"/>
        <w:szCs w:val="14"/>
      </w:rPr>
    </w:pPr>
    <w:r w:rsidRPr="00F23D12">
      <w:rPr>
        <w:sz w:val="14"/>
        <w:szCs w:val="14"/>
      </w:rPr>
      <w:t xml:space="preserve">1-800-237-5678 | </w:t>
    </w:r>
    <w:hyperlink r:id="rId1" w:history="1">
      <w:r w:rsidRPr="00F23D12">
        <w:rPr>
          <w:rStyle w:val="Hyperlink"/>
          <w:sz w:val="14"/>
          <w:szCs w:val="14"/>
        </w:rPr>
        <w:t>TCUgroup@trustcu.com</w:t>
      </w:r>
    </w:hyperlink>
  </w:p>
  <w:p w14:paraId="585F9573" w14:textId="77777777" w:rsidR="00F23D12" w:rsidRPr="00F23D12" w:rsidRDefault="00F23D12">
    <w:pPr>
      <w:pStyle w:val="Footer"/>
      <w:rPr>
        <w:sz w:val="14"/>
        <w:szCs w:val="14"/>
      </w:rPr>
    </w:pPr>
    <w:r w:rsidRPr="00F23D12">
      <w:rPr>
        <w:sz w:val="14"/>
        <w:szCs w:val="14"/>
      </w:rPr>
      <w:t>1001 Connecticut Ave, NW, Suite 1001, Washington DC 20036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F18B99" w14:textId="77777777" w:rsidR="006B5DA9" w:rsidRDefault="006B5DA9" w:rsidP="009729CA">
      <w:pPr>
        <w:spacing w:after="0" w:line="240" w:lineRule="auto"/>
      </w:pPr>
      <w:r>
        <w:separator/>
      </w:r>
    </w:p>
  </w:footnote>
  <w:footnote w:type="continuationSeparator" w:id="0">
    <w:p w14:paraId="5DF30975" w14:textId="77777777" w:rsidR="006B5DA9" w:rsidRDefault="006B5DA9" w:rsidP="009729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0E02BD" w14:textId="77777777" w:rsidR="009729CA" w:rsidRDefault="009729CA" w:rsidP="009729CA">
    <w:pPr>
      <w:pStyle w:val="Header"/>
      <w:ind w:left="-540"/>
    </w:pPr>
    <w:r>
      <w:rPr>
        <w:noProof/>
      </w:rPr>
      <w:drawing>
        <wp:inline distT="0" distB="0" distL="0" distR="0" wp14:anchorId="4C32A65B" wp14:editId="4E24C401">
          <wp:extent cx="6565811" cy="1407160"/>
          <wp:effectExtent l="0" t="0" r="6985"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CU-Press release word 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565811" cy="140716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29CA"/>
    <w:rsid w:val="00001EC4"/>
    <w:rsid w:val="000141D8"/>
    <w:rsid w:val="000149B6"/>
    <w:rsid w:val="00020489"/>
    <w:rsid w:val="00021FA9"/>
    <w:rsid w:val="00041928"/>
    <w:rsid w:val="000531B6"/>
    <w:rsid w:val="00057A6D"/>
    <w:rsid w:val="00075D97"/>
    <w:rsid w:val="000806ED"/>
    <w:rsid w:val="00084ACE"/>
    <w:rsid w:val="00087D88"/>
    <w:rsid w:val="00090254"/>
    <w:rsid w:val="00097C1A"/>
    <w:rsid w:val="000B16CA"/>
    <w:rsid w:val="000B2146"/>
    <w:rsid w:val="000C1C85"/>
    <w:rsid w:val="000C53CB"/>
    <w:rsid w:val="000C63EC"/>
    <w:rsid w:val="000C67B0"/>
    <w:rsid w:val="000C7B17"/>
    <w:rsid w:val="000D13AE"/>
    <w:rsid w:val="000D4532"/>
    <w:rsid w:val="000E38FE"/>
    <w:rsid w:val="00105F2C"/>
    <w:rsid w:val="00123137"/>
    <w:rsid w:val="00127586"/>
    <w:rsid w:val="00135580"/>
    <w:rsid w:val="00136DF8"/>
    <w:rsid w:val="00152D7B"/>
    <w:rsid w:val="00153644"/>
    <w:rsid w:val="00180A9C"/>
    <w:rsid w:val="00180AEB"/>
    <w:rsid w:val="0018300A"/>
    <w:rsid w:val="001942F5"/>
    <w:rsid w:val="00194E9E"/>
    <w:rsid w:val="001968D3"/>
    <w:rsid w:val="001A1031"/>
    <w:rsid w:val="001A4EEB"/>
    <w:rsid w:val="001D3197"/>
    <w:rsid w:val="001D5426"/>
    <w:rsid w:val="001E131B"/>
    <w:rsid w:val="001E1903"/>
    <w:rsid w:val="001E19EA"/>
    <w:rsid w:val="001E499E"/>
    <w:rsid w:val="002027A2"/>
    <w:rsid w:val="00214AE6"/>
    <w:rsid w:val="00214D7B"/>
    <w:rsid w:val="0023265C"/>
    <w:rsid w:val="00242068"/>
    <w:rsid w:val="00251D8C"/>
    <w:rsid w:val="00276DED"/>
    <w:rsid w:val="00277011"/>
    <w:rsid w:val="002779B9"/>
    <w:rsid w:val="00282B11"/>
    <w:rsid w:val="00295648"/>
    <w:rsid w:val="0029767C"/>
    <w:rsid w:val="002A1D91"/>
    <w:rsid w:val="002A2B1C"/>
    <w:rsid w:val="002A2E9C"/>
    <w:rsid w:val="002B6D93"/>
    <w:rsid w:val="002D37B4"/>
    <w:rsid w:val="002D7058"/>
    <w:rsid w:val="002D7C29"/>
    <w:rsid w:val="002E1184"/>
    <w:rsid w:val="002E4808"/>
    <w:rsid w:val="002F4C40"/>
    <w:rsid w:val="00320310"/>
    <w:rsid w:val="00323BCE"/>
    <w:rsid w:val="0032449E"/>
    <w:rsid w:val="00340F1B"/>
    <w:rsid w:val="0034138D"/>
    <w:rsid w:val="00354F5E"/>
    <w:rsid w:val="003574FE"/>
    <w:rsid w:val="00361268"/>
    <w:rsid w:val="00365D8D"/>
    <w:rsid w:val="0037060E"/>
    <w:rsid w:val="00374E96"/>
    <w:rsid w:val="00375EF4"/>
    <w:rsid w:val="003818DE"/>
    <w:rsid w:val="00386A69"/>
    <w:rsid w:val="003916F4"/>
    <w:rsid w:val="003948DE"/>
    <w:rsid w:val="00394FD4"/>
    <w:rsid w:val="003A0F11"/>
    <w:rsid w:val="003A5FDE"/>
    <w:rsid w:val="003B3DEE"/>
    <w:rsid w:val="003C0EA7"/>
    <w:rsid w:val="003C16E4"/>
    <w:rsid w:val="003C71A8"/>
    <w:rsid w:val="003C7E31"/>
    <w:rsid w:val="003C7E69"/>
    <w:rsid w:val="003D6738"/>
    <w:rsid w:val="003D7082"/>
    <w:rsid w:val="003E611F"/>
    <w:rsid w:val="003F497D"/>
    <w:rsid w:val="003F7593"/>
    <w:rsid w:val="0040566C"/>
    <w:rsid w:val="00417B6C"/>
    <w:rsid w:val="0042044A"/>
    <w:rsid w:val="00421B45"/>
    <w:rsid w:val="00433582"/>
    <w:rsid w:val="00435F68"/>
    <w:rsid w:val="004524B2"/>
    <w:rsid w:val="00462A5B"/>
    <w:rsid w:val="0046570E"/>
    <w:rsid w:val="004843E0"/>
    <w:rsid w:val="004A5EEA"/>
    <w:rsid w:val="004B2D9B"/>
    <w:rsid w:val="004B4284"/>
    <w:rsid w:val="004B7708"/>
    <w:rsid w:val="004B79E9"/>
    <w:rsid w:val="004C33B2"/>
    <w:rsid w:val="004C62AB"/>
    <w:rsid w:val="004C7989"/>
    <w:rsid w:val="004E243C"/>
    <w:rsid w:val="004F3971"/>
    <w:rsid w:val="0051285C"/>
    <w:rsid w:val="00512F4A"/>
    <w:rsid w:val="0053140B"/>
    <w:rsid w:val="00536142"/>
    <w:rsid w:val="00536939"/>
    <w:rsid w:val="00536A0F"/>
    <w:rsid w:val="00540E5D"/>
    <w:rsid w:val="00557E37"/>
    <w:rsid w:val="00561E12"/>
    <w:rsid w:val="0056359A"/>
    <w:rsid w:val="00570198"/>
    <w:rsid w:val="005753A2"/>
    <w:rsid w:val="00581FE6"/>
    <w:rsid w:val="00583917"/>
    <w:rsid w:val="005A0EB6"/>
    <w:rsid w:val="005A19C3"/>
    <w:rsid w:val="005A2FC0"/>
    <w:rsid w:val="005A5324"/>
    <w:rsid w:val="005A756F"/>
    <w:rsid w:val="005B2DD0"/>
    <w:rsid w:val="005B60D6"/>
    <w:rsid w:val="005C27EE"/>
    <w:rsid w:val="005C2BF4"/>
    <w:rsid w:val="005C6440"/>
    <w:rsid w:val="005D7F31"/>
    <w:rsid w:val="005E280D"/>
    <w:rsid w:val="005E3315"/>
    <w:rsid w:val="005E3CE3"/>
    <w:rsid w:val="005E6C96"/>
    <w:rsid w:val="00611803"/>
    <w:rsid w:val="00623ED7"/>
    <w:rsid w:val="00626430"/>
    <w:rsid w:val="00627FCC"/>
    <w:rsid w:val="00630C4F"/>
    <w:rsid w:val="0064508F"/>
    <w:rsid w:val="00656844"/>
    <w:rsid w:val="0065790C"/>
    <w:rsid w:val="00662D79"/>
    <w:rsid w:val="00670152"/>
    <w:rsid w:val="00685100"/>
    <w:rsid w:val="006912C5"/>
    <w:rsid w:val="00692B95"/>
    <w:rsid w:val="0069663D"/>
    <w:rsid w:val="006A2B1F"/>
    <w:rsid w:val="006A2FF6"/>
    <w:rsid w:val="006A6E65"/>
    <w:rsid w:val="006B5DA9"/>
    <w:rsid w:val="006E1514"/>
    <w:rsid w:val="00707DA0"/>
    <w:rsid w:val="007143D7"/>
    <w:rsid w:val="00720879"/>
    <w:rsid w:val="00724188"/>
    <w:rsid w:val="0073209F"/>
    <w:rsid w:val="007371F6"/>
    <w:rsid w:val="00737BCB"/>
    <w:rsid w:val="007411C0"/>
    <w:rsid w:val="00744183"/>
    <w:rsid w:val="007572C9"/>
    <w:rsid w:val="0078403E"/>
    <w:rsid w:val="00787F3B"/>
    <w:rsid w:val="00794DC7"/>
    <w:rsid w:val="007A115D"/>
    <w:rsid w:val="007A1E06"/>
    <w:rsid w:val="007A602D"/>
    <w:rsid w:val="007A7D92"/>
    <w:rsid w:val="007C334E"/>
    <w:rsid w:val="007C3484"/>
    <w:rsid w:val="007C7A91"/>
    <w:rsid w:val="007D0631"/>
    <w:rsid w:val="007E2E59"/>
    <w:rsid w:val="007E459D"/>
    <w:rsid w:val="007E5C5A"/>
    <w:rsid w:val="007F758B"/>
    <w:rsid w:val="00804707"/>
    <w:rsid w:val="0083447D"/>
    <w:rsid w:val="008357D6"/>
    <w:rsid w:val="00843030"/>
    <w:rsid w:val="00846FC8"/>
    <w:rsid w:val="00850930"/>
    <w:rsid w:val="0085394C"/>
    <w:rsid w:val="00860777"/>
    <w:rsid w:val="00863E07"/>
    <w:rsid w:val="00864CBC"/>
    <w:rsid w:val="00873A81"/>
    <w:rsid w:val="0087536A"/>
    <w:rsid w:val="00881040"/>
    <w:rsid w:val="00886E6D"/>
    <w:rsid w:val="008A30A0"/>
    <w:rsid w:val="008B0768"/>
    <w:rsid w:val="008C003D"/>
    <w:rsid w:val="008C6D91"/>
    <w:rsid w:val="008D18BF"/>
    <w:rsid w:val="008D1C01"/>
    <w:rsid w:val="008D60A1"/>
    <w:rsid w:val="008E2372"/>
    <w:rsid w:val="008E341D"/>
    <w:rsid w:val="008F0DE3"/>
    <w:rsid w:val="008F3F09"/>
    <w:rsid w:val="008F5D28"/>
    <w:rsid w:val="00903D94"/>
    <w:rsid w:val="00904B45"/>
    <w:rsid w:val="00906A5B"/>
    <w:rsid w:val="009256DE"/>
    <w:rsid w:val="00945BAB"/>
    <w:rsid w:val="0095115F"/>
    <w:rsid w:val="00952CC4"/>
    <w:rsid w:val="00966181"/>
    <w:rsid w:val="009665D5"/>
    <w:rsid w:val="009729CA"/>
    <w:rsid w:val="0098687E"/>
    <w:rsid w:val="0099046F"/>
    <w:rsid w:val="009A4CC8"/>
    <w:rsid w:val="009B2369"/>
    <w:rsid w:val="009C44F6"/>
    <w:rsid w:val="009E169E"/>
    <w:rsid w:val="009E27D9"/>
    <w:rsid w:val="009E61D3"/>
    <w:rsid w:val="00A06B44"/>
    <w:rsid w:val="00A1137E"/>
    <w:rsid w:val="00A240AE"/>
    <w:rsid w:val="00A25269"/>
    <w:rsid w:val="00A34B04"/>
    <w:rsid w:val="00A3512B"/>
    <w:rsid w:val="00A35B94"/>
    <w:rsid w:val="00A362A8"/>
    <w:rsid w:val="00A368E4"/>
    <w:rsid w:val="00A41955"/>
    <w:rsid w:val="00A42D50"/>
    <w:rsid w:val="00A50348"/>
    <w:rsid w:val="00A512E5"/>
    <w:rsid w:val="00A53509"/>
    <w:rsid w:val="00A66AF5"/>
    <w:rsid w:val="00A66ED1"/>
    <w:rsid w:val="00A720E6"/>
    <w:rsid w:val="00A73D5B"/>
    <w:rsid w:val="00A76B58"/>
    <w:rsid w:val="00A9149A"/>
    <w:rsid w:val="00A94173"/>
    <w:rsid w:val="00A962FB"/>
    <w:rsid w:val="00A96E3E"/>
    <w:rsid w:val="00AA0DC4"/>
    <w:rsid w:val="00AA7218"/>
    <w:rsid w:val="00AB1702"/>
    <w:rsid w:val="00AB335F"/>
    <w:rsid w:val="00AB522F"/>
    <w:rsid w:val="00AC162D"/>
    <w:rsid w:val="00AC4675"/>
    <w:rsid w:val="00AD172C"/>
    <w:rsid w:val="00AD19F8"/>
    <w:rsid w:val="00AD450C"/>
    <w:rsid w:val="00AD6376"/>
    <w:rsid w:val="00AD7EA1"/>
    <w:rsid w:val="00AE795C"/>
    <w:rsid w:val="00AF3C58"/>
    <w:rsid w:val="00B000B9"/>
    <w:rsid w:val="00B01D9D"/>
    <w:rsid w:val="00B05EBF"/>
    <w:rsid w:val="00B06929"/>
    <w:rsid w:val="00B121AA"/>
    <w:rsid w:val="00B1771D"/>
    <w:rsid w:val="00B23928"/>
    <w:rsid w:val="00B23DB5"/>
    <w:rsid w:val="00B35690"/>
    <w:rsid w:val="00B42567"/>
    <w:rsid w:val="00B46B34"/>
    <w:rsid w:val="00B575CD"/>
    <w:rsid w:val="00B660A2"/>
    <w:rsid w:val="00B71445"/>
    <w:rsid w:val="00B772DB"/>
    <w:rsid w:val="00B77342"/>
    <w:rsid w:val="00B80F78"/>
    <w:rsid w:val="00B8720A"/>
    <w:rsid w:val="00B91AD6"/>
    <w:rsid w:val="00BA53FE"/>
    <w:rsid w:val="00BA7ABD"/>
    <w:rsid w:val="00BB474E"/>
    <w:rsid w:val="00BB6205"/>
    <w:rsid w:val="00BB7637"/>
    <w:rsid w:val="00BC3DAE"/>
    <w:rsid w:val="00BC5D94"/>
    <w:rsid w:val="00BC667B"/>
    <w:rsid w:val="00BC7CCD"/>
    <w:rsid w:val="00BE59B5"/>
    <w:rsid w:val="00C149F5"/>
    <w:rsid w:val="00C27C2D"/>
    <w:rsid w:val="00C35FDD"/>
    <w:rsid w:val="00C5721D"/>
    <w:rsid w:val="00C67E7D"/>
    <w:rsid w:val="00C721E4"/>
    <w:rsid w:val="00C836F9"/>
    <w:rsid w:val="00C8703D"/>
    <w:rsid w:val="00C919C1"/>
    <w:rsid w:val="00C94057"/>
    <w:rsid w:val="00CA1D9B"/>
    <w:rsid w:val="00CA3326"/>
    <w:rsid w:val="00CA37A9"/>
    <w:rsid w:val="00CA6E0D"/>
    <w:rsid w:val="00CB5BA8"/>
    <w:rsid w:val="00CC2AE6"/>
    <w:rsid w:val="00CC5ECB"/>
    <w:rsid w:val="00CD1ED5"/>
    <w:rsid w:val="00CD6631"/>
    <w:rsid w:val="00CD6972"/>
    <w:rsid w:val="00CE22CA"/>
    <w:rsid w:val="00CE4663"/>
    <w:rsid w:val="00CE542D"/>
    <w:rsid w:val="00CF224D"/>
    <w:rsid w:val="00CF2988"/>
    <w:rsid w:val="00CF3150"/>
    <w:rsid w:val="00CF6532"/>
    <w:rsid w:val="00CF7870"/>
    <w:rsid w:val="00D065DA"/>
    <w:rsid w:val="00D115DC"/>
    <w:rsid w:val="00D14850"/>
    <w:rsid w:val="00D211CB"/>
    <w:rsid w:val="00D22EC1"/>
    <w:rsid w:val="00D32A26"/>
    <w:rsid w:val="00D44ED6"/>
    <w:rsid w:val="00D4642E"/>
    <w:rsid w:val="00D474C7"/>
    <w:rsid w:val="00D52346"/>
    <w:rsid w:val="00D60B09"/>
    <w:rsid w:val="00D74CE0"/>
    <w:rsid w:val="00D7764F"/>
    <w:rsid w:val="00D8102A"/>
    <w:rsid w:val="00D81BDA"/>
    <w:rsid w:val="00D91E87"/>
    <w:rsid w:val="00D96CC0"/>
    <w:rsid w:val="00D97909"/>
    <w:rsid w:val="00DA00A2"/>
    <w:rsid w:val="00DA4968"/>
    <w:rsid w:val="00DA4FA4"/>
    <w:rsid w:val="00DB0156"/>
    <w:rsid w:val="00DB2554"/>
    <w:rsid w:val="00DB709C"/>
    <w:rsid w:val="00DD12C7"/>
    <w:rsid w:val="00DD7FBF"/>
    <w:rsid w:val="00DF5276"/>
    <w:rsid w:val="00E03B6B"/>
    <w:rsid w:val="00E04B10"/>
    <w:rsid w:val="00E05725"/>
    <w:rsid w:val="00E072AF"/>
    <w:rsid w:val="00E137FA"/>
    <w:rsid w:val="00E308D7"/>
    <w:rsid w:val="00E57550"/>
    <w:rsid w:val="00E60F05"/>
    <w:rsid w:val="00E61180"/>
    <w:rsid w:val="00E77961"/>
    <w:rsid w:val="00E85860"/>
    <w:rsid w:val="00E935AD"/>
    <w:rsid w:val="00E95F16"/>
    <w:rsid w:val="00E96B27"/>
    <w:rsid w:val="00E97921"/>
    <w:rsid w:val="00E97C9B"/>
    <w:rsid w:val="00EA00F9"/>
    <w:rsid w:val="00EA255E"/>
    <w:rsid w:val="00EC29BC"/>
    <w:rsid w:val="00EC4561"/>
    <w:rsid w:val="00EC5446"/>
    <w:rsid w:val="00EC6C5B"/>
    <w:rsid w:val="00EC7018"/>
    <w:rsid w:val="00ED0B8F"/>
    <w:rsid w:val="00ED3A00"/>
    <w:rsid w:val="00ED5077"/>
    <w:rsid w:val="00ED543D"/>
    <w:rsid w:val="00EE090D"/>
    <w:rsid w:val="00EE688E"/>
    <w:rsid w:val="00EF5A66"/>
    <w:rsid w:val="00F024A7"/>
    <w:rsid w:val="00F1293D"/>
    <w:rsid w:val="00F13A35"/>
    <w:rsid w:val="00F14430"/>
    <w:rsid w:val="00F14A8A"/>
    <w:rsid w:val="00F2314F"/>
    <w:rsid w:val="00F23D12"/>
    <w:rsid w:val="00F26B67"/>
    <w:rsid w:val="00F33721"/>
    <w:rsid w:val="00F37AF3"/>
    <w:rsid w:val="00F40D5D"/>
    <w:rsid w:val="00F43418"/>
    <w:rsid w:val="00F76CC3"/>
    <w:rsid w:val="00F87A59"/>
    <w:rsid w:val="00F94686"/>
    <w:rsid w:val="00F97141"/>
    <w:rsid w:val="00FA40F3"/>
    <w:rsid w:val="00FB2A18"/>
    <w:rsid w:val="00FB3AB3"/>
    <w:rsid w:val="00FB48F6"/>
    <w:rsid w:val="00FB5608"/>
    <w:rsid w:val="00FE0AC9"/>
    <w:rsid w:val="00FE2E4C"/>
    <w:rsid w:val="00FE32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9AFAB3"/>
  <w15:docId w15:val="{E5DDC3B1-A634-4E03-A616-5CEBF679B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29CA"/>
    <w:rPr>
      <w:rFonts w:ascii="Verdana" w:hAnsi="Verdana"/>
      <w:sz w:val="18"/>
    </w:rPr>
  </w:style>
  <w:style w:type="paragraph" w:styleId="Heading4">
    <w:name w:val="heading 4"/>
    <w:basedOn w:val="Normal"/>
    <w:link w:val="Heading4Char"/>
    <w:uiPriority w:val="9"/>
    <w:qFormat/>
    <w:rsid w:val="00B8720A"/>
    <w:pPr>
      <w:spacing w:after="150" w:line="240" w:lineRule="auto"/>
      <w:outlineLvl w:val="3"/>
    </w:pPr>
    <w:rPr>
      <w:rFonts w:ascii="Arial" w:eastAsia="Times New Roman" w:hAnsi="Arial" w:cs="Arial"/>
      <w:b/>
      <w:bCs/>
      <w:color w:val="202020"/>
      <w:sz w:val="33"/>
      <w:szCs w:val="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29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29CA"/>
  </w:style>
  <w:style w:type="paragraph" w:styleId="Footer">
    <w:name w:val="footer"/>
    <w:basedOn w:val="Normal"/>
    <w:link w:val="FooterChar"/>
    <w:uiPriority w:val="99"/>
    <w:unhideWhenUsed/>
    <w:rsid w:val="009729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29CA"/>
  </w:style>
  <w:style w:type="paragraph" w:styleId="BalloonText">
    <w:name w:val="Balloon Text"/>
    <w:basedOn w:val="Normal"/>
    <w:link w:val="BalloonTextChar"/>
    <w:uiPriority w:val="99"/>
    <w:semiHidden/>
    <w:unhideWhenUsed/>
    <w:rsid w:val="009729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29CA"/>
    <w:rPr>
      <w:rFonts w:ascii="Tahoma" w:hAnsi="Tahoma" w:cs="Tahoma"/>
      <w:sz w:val="16"/>
      <w:szCs w:val="16"/>
    </w:rPr>
  </w:style>
  <w:style w:type="character" w:styleId="Hyperlink">
    <w:name w:val="Hyperlink"/>
    <w:basedOn w:val="DefaultParagraphFont"/>
    <w:uiPriority w:val="99"/>
    <w:unhideWhenUsed/>
    <w:rsid w:val="00F23D12"/>
    <w:rPr>
      <w:color w:val="0000FF" w:themeColor="hyperlink"/>
      <w:u w:val="single"/>
    </w:rPr>
  </w:style>
  <w:style w:type="character" w:customStyle="1" w:styleId="Heading4Char">
    <w:name w:val="Heading 4 Char"/>
    <w:basedOn w:val="DefaultParagraphFont"/>
    <w:link w:val="Heading4"/>
    <w:uiPriority w:val="9"/>
    <w:rsid w:val="00B8720A"/>
    <w:rPr>
      <w:rFonts w:ascii="Arial" w:eastAsia="Times New Roman" w:hAnsi="Arial" w:cs="Arial"/>
      <w:b/>
      <w:bCs/>
      <w:color w:val="202020"/>
      <w:sz w:val="33"/>
      <w:szCs w:val="33"/>
    </w:rPr>
  </w:style>
  <w:style w:type="paragraph" w:customStyle="1" w:styleId="Default">
    <w:name w:val="Default"/>
    <w:rsid w:val="00B8720A"/>
    <w:pPr>
      <w:autoSpaceDE w:val="0"/>
      <w:autoSpaceDN w:val="0"/>
      <w:adjustRightInd w:val="0"/>
      <w:spacing w:after="0" w:line="240" w:lineRule="auto"/>
    </w:pPr>
    <w:rPr>
      <w:rFonts w:ascii="Tahoma" w:eastAsia="Calibri" w:hAnsi="Tahoma" w:cs="Tahoma"/>
      <w:color w:val="000000"/>
      <w:sz w:val="24"/>
      <w:szCs w:val="24"/>
    </w:rPr>
  </w:style>
  <w:style w:type="character" w:styleId="CommentReference">
    <w:name w:val="annotation reference"/>
    <w:basedOn w:val="DefaultParagraphFont"/>
    <w:uiPriority w:val="99"/>
    <w:semiHidden/>
    <w:unhideWhenUsed/>
    <w:rsid w:val="006A2B1F"/>
    <w:rPr>
      <w:sz w:val="16"/>
      <w:szCs w:val="16"/>
    </w:rPr>
  </w:style>
  <w:style w:type="paragraph" w:styleId="CommentText">
    <w:name w:val="annotation text"/>
    <w:basedOn w:val="Normal"/>
    <w:link w:val="CommentTextChar"/>
    <w:uiPriority w:val="99"/>
    <w:semiHidden/>
    <w:unhideWhenUsed/>
    <w:rsid w:val="006A2B1F"/>
    <w:pPr>
      <w:spacing w:line="240" w:lineRule="auto"/>
    </w:pPr>
    <w:rPr>
      <w:sz w:val="20"/>
      <w:szCs w:val="20"/>
    </w:rPr>
  </w:style>
  <w:style w:type="character" w:customStyle="1" w:styleId="CommentTextChar">
    <w:name w:val="Comment Text Char"/>
    <w:basedOn w:val="DefaultParagraphFont"/>
    <w:link w:val="CommentText"/>
    <w:uiPriority w:val="99"/>
    <w:semiHidden/>
    <w:rsid w:val="006A2B1F"/>
    <w:rPr>
      <w:rFonts w:ascii="Verdana" w:hAnsi="Verdana"/>
      <w:sz w:val="20"/>
      <w:szCs w:val="20"/>
    </w:rPr>
  </w:style>
  <w:style w:type="paragraph" w:styleId="CommentSubject">
    <w:name w:val="annotation subject"/>
    <w:basedOn w:val="CommentText"/>
    <w:next w:val="CommentText"/>
    <w:link w:val="CommentSubjectChar"/>
    <w:uiPriority w:val="99"/>
    <w:semiHidden/>
    <w:unhideWhenUsed/>
    <w:rsid w:val="006A2B1F"/>
    <w:rPr>
      <w:b/>
      <w:bCs/>
    </w:rPr>
  </w:style>
  <w:style w:type="character" w:customStyle="1" w:styleId="CommentSubjectChar">
    <w:name w:val="Comment Subject Char"/>
    <w:basedOn w:val="CommentTextChar"/>
    <w:link w:val="CommentSubject"/>
    <w:uiPriority w:val="99"/>
    <w:semiHidden/>
    <w:rsid w:val="006A2B1F"/>
    <w:rPr>
      <w:rFonts w:ascii="Verdana" w:hAnsi="Verdana"/>
      <w:b/>
      <w:bCs/>
      <w:sz w:val="20"/>
      <w:szCs w:val="20"/>
    </w:rPr>
  </w:style>
  <w:style w:type="paragraph" w:styleId="Revision">
    <w:name w:val="Revision"/>
    <w:hidden/>
    <w:uiPriority w:val="99"/>
    <w:semiHidden/>
    <w:rsid w:val="006A2B1F"/>
    <w:pPr>
      <w:spacing w:after="0" w:line="240" w:lineRule="auto"/>
    </w:pPr>
    <w:rPr>
      <w:rFonts w:ascii="Verdana" w:hAnsi="Verdana"/>
      <w:sz w:val="18"/>
    </w:rPr>
  </w:style>
  <w:style w:type="character" w:styleId="UnresolvedMention">
    <w:name w:val="Unresolved Mention"/>
    <w:basedOn w:val="DefaultParagraphFont"/>
    <w:uiPriority w:val="99"/>
    <w:semiHidden/>
    <w:unhideWhenUsed/>
    <w:rsid w:val="001E19E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1297938">
      <w:bodyDiv w:val="1"/>
      <w:marLeft w:val="0"/>
      <w:marRight w:val="0"/>
      <w:marTop w:val="0"/>
      <w:marBottom w:val="0"/>
      <w:divBdr>
        <w:top w:val="none" w:sz="0" w:space="0" w:color="auto"/>
        <w:left w:val="none" w:sz="0" w:space="0" w:color="auto"/>
        <w:bottom w:val="none" w:sz="0" w:space="0" w:color="auto"/>
        <w:right w:val="none" w:sz="0" w:space="0" w:color="auto"/>
      </w:divBdr>
    </w:div>
    <w:div w:id="669674230">
      <w:bodyDiv w:val="1"/>
      <w:marLeft w:val="0"/>
      <w:marRight w:val="0"/>
      <w:marTop w:val="0"/>
      <w:marBottom w:val="0"/>
      <w:divBdr>
        <w:top w:val="none" w:sz="0" w:space="0" w:color="auto"/>
        <w:left w:val="none" w:sz="0" w:space="0" w:color="auto"/>
        <w:bottom w:val="none" w:sz="0" w:space="0" w:color="auto"/>
        <w:right w:val="none" w:sz="0" w:space="0" w:color="auto"/>
      </w:divBdr>
    </w:div>
    <w:div w:id="817770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d.docs.live.net/7459ce722c49037d/Documents/www.trustcu.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simpson@callahan.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TCUgroup@trustcu.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561</Words>
  <Characters>3201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Mhoopes</dc:creator>
  <cp:lastModifiedBy>Sharon Simpson</cp:lastModifiedBy>
  <cp:revision>3</cp:revision>
  <dcterms:created xsi:type="dcterms:W3CDTF">2021-03-10T21:54:00Z</dcterms:created>
  <dcterms:modified xsi:type="dcterms:W3CDTF">2021-03-11T17:34:00Z</dcterms:modified>
</cp:coreProperties>
</file>