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F90572" w14:textId="36479CB8" w:rsidR="00AF3C58" w:rsidRDefault="00AF3C58" w:rsidP="00417B6C">
      <w:pPr>
        <w:pStyle w:val="Heading4"/>
        <w:rPr>
          <w:rFonts w:ascii="Verdana" w:hAnsi="Verdana"/>
          <w:color w:val="000000" w:themeColor="text1"/>
          <w:sz w:val="21"/>
        </w:rPr>
      </w:pPr>
      <w:r>
        <w:rPr>
          <w:rFonts w:ascii="Verdana" w:eastAsia="Calibri" w:hAnsi="Verdana" w:cs="Calibri"/>
          <w:iCs/>
          <w:color w:val="000000" w:themeColor="text1"/>
          <w:sz w:val="36"/>
          <w:szCs w:val="36"/>
        </w:rPr>
        <w:t>Trust for Credit Unions</w:t>
      </w:r>
      <w:r w:rsidR="000141D8">
        <w:rPr>
          <w:rFonts w:ascii="Verdana" w:eastAsia="Calibri" w:hAnsi="Verdana" w:cs="Calibri"/>
          <w:iCs/>
          <w:color w:val="000000" w:themeColor="text1"/>
          <w:sz w:val="36"/>
          <w:szCs w:val="36"/>
        </w:rPr>
        <w:t xml:space="preserve">’ Board Renews Key Contracts </w:t>
      </w:r>
      <w:r w:rsidR="00476EFD">
        <w:rPr>
          <w:rFonts w:ascii="Verdana" w:eastAsia="Calibri" w:hAnsi="Verdana" w:cs="Calibri"/>
          <w:iCs/>
          <w:color w:val="000000" w:themeColor="text1"/>
          <w:sz w:val="36"/>
          <w:szCs w:val="36"/>
        </w:rPr>
        <w:t>for Distribution &amp; Administration</w:t>
      </w:r>
    </w:p>
    <w:p w14:paraId="6EEDEEA0" w14:textId="6C960577" w:rsidR="00B8720A" w:rsidRPr="00B8720A" w:rsidRDefault="00B8720A" w:rsidP="00417B6C">
      <w:pPr>
        <w:pStyle w:val="Heading4"/>
        <w:rPr>
          <w:rFonts w:ascii="Verdana" w:hAnsi="Verdana"/>
          <w:color w:val="000000" w:themeColor="text1"/>
          <w:sz w:val="21"/>
          <w:szCs w:val="21"/>
        </w:rPr>
      </w:pPr>
      <w:r w:rsidRPr="00B8720A">
        <w:rPr>
          <w:rFonts w:ascii="Verdana" w:hAnsi="Verdana"/>
          <w:color w:val="000000" w:themeColor="text1"/>
          <w:sz w:val="21"/>
          <w:szCs w:val="21"/>
        </w:rPr>
        <w:br/>
      </w:r>
      <w:r w:rsidRPr="00B8720A">
        <w:rPr>
          <w:rFonts w:ascii="Verdana" w:hAnsi="Verdana"/>
          <w:color w:val="000000" w:themeColor="text1"/>
          <w:sz w:val="21"/>
        </w:rPr>
        <w:t>For Immediate Release:</w:t>
      </w:r>
      <w:r w:rsidRPr="00B8720A">
        <w:rPr>
          <w:rFonts w:ascii="Verdana" w:hAnsi="Verdana"/>
          <w:color w:val="000000" w:themeColor="text1"/>
          <w:sz w:val="21"/>
          <w:szCs w:val="21"/>
        </w:rPr>
        <w:t xml:space="preserve">  </w:t>
      </w:r>
      <w:r w:rsidR="000C1C85">
        <w:rPr>
          <w:rFonts w:ascii="Verdana" w:hAnsi="Verdana"/>
          <w:color w:val="000000" w:themeColor="text1"/>
          <w:sz w:val="21"/>
          <w:szCs w:val="21"/>
        </w:rPr>
        <w:t xml:space="preserve">January </w:t>
      </w:r>
      <w:r w:rsidR="00476EFD">
        <w:rPr>
          <w:rFonts w:ascii="Verdana" w:hAnsi="Verdana"/>
          <w:color w:val="000000" w:themeColor="text1"/>
          <w:sz w:val="21"/>
          <w:szCs w:val="21"/>
        </w:rPr>
        <w:t>28</w:t>
      </w:r>
      <w:r w:rsidR="000C1C85">
        <w:rPr>
          <w:rFonts w:ascii="Verdana" w:hAnsi="Verdana"/>
          <w:color w:val="000000" w:themeColor="text1"/>
          <w:sz w:val="21"/>
          <w:szCs w:val="21"/>
        </w:rPr>
        <w:t>, 2021</w:t>
      </w:r>
      <w:r w:rsidRPr="00B8720A">
        <w:rPr>
          <w:rFonts w:ascii="Verdana" w:hAnsi="Verdana"/>
          <w:color w:val="000000" w:themeColor="text1"/>
          <w:sz w:val="21"/>
          <w:szCs w:val="21"/>
        </w:rPr>
        <w:br/>
      </w:r>
      <w:r w:rsidRPr="00B8720A">
        <w:rPr>
          <w:rFonts w:ascii="Verdana" w:hAnsi="Verdana"/>
          <w:color w:val="000000" w:themeColor="text1"/>
          <w:sz w:val="21"/>
        </w:rPr>
        <w:t xml:space="preserve">Contact: </w:t>
      </w:r>
      <w:r w:rsidR="0099046F">
        <w:rPr>
          <w:rFonts w:ascii="Verdana" w:hAnsi="Verdana"/>
          <w:color w:val="000000" w:themeColor="text1"/>
          <w:sz w:val="21"/>
          <w:szCs w:val="21"/>
        </w:rPr>
        <w:t>Sharon Simpson</w:t>
      </w:r>
      <w:r w:rsidRPr="00B8720A">
        <w:rPr>
          <w:rFonts w:ascii="Verdana" w:hAnsi="Verdana"/>
          <w:color w:val="000000" w:themeColor="text1"/>
          <w:sz w:val="21"/>
          <w:szCs w:val="21"/>
        </w:rPr>
        <w:t xml:space="preserve">, (202) 223-3920 or </w:t>
      </w:r>
      <w:hyperlink r:id="rId6" w:history="1">
        <w:r w:rsidR="0099046F" w:rsidRPr="00337034">
          <w:rPr>
            <w:rStyle w:val="Hyperlink"/>
            <w:rFonts w:ascii="Verdana" w:hAnsi="Verdana"/>
            <w:sz w:val="21"/>
            <w:szCs w:val="21"/>
          </w:rPr>
          <w:t>ssimpson@callahan.com</w:t>
        </w:r>
      </w:hyperlink>
      <w:r w:rsidRPr="00B8720A">
        <w:rPr>
          <w:rFonts w:ascii="Verdana" w:hAnsi="Verdana"/>
          <w:color w:val="000000" w:themeColor="text1"/>
          <w:sz w:val="21"/>
          <w:szCs w:val="21"/>
        </w:rPr>
        <w:br/>
      </w:r>
    </w:p>
    <w:p w14:paraId="3828EB8E" w14:textId="1972E9EB" w:rsidR="001942F5" w:rsidRPr="001942F5" w:rsidRDefault="00B8720A" w:rsidP="001942F5">
      <w:pPr>
        <w:spacing w:after="0" w:line="360" w:lineRule="auto"/>
        <w:rPr>
          <w:rFonts w:eastAsia="Times New Roman" w:cs="Arial"/>
          <w:color w:val="000000" w:themeColor="text1"/>
          <w:sz w:val="21"/>
          <w:szCs w:val="21"/>
        </w:rPr>
      </w:pPr>
      <w:r w:rsidRPr="00B8720A">
        <w:rPr>
          <w:rFonts w:eastAsia="Times New Roman" w:cs="Arial"/>
          <w:b/>
          <w:color w:val="000000" w:themeColor="text1"/>
          <w:sz w:val="21"/>
          <w:szCs w:val="21"/>
        </w:rPr>
        <w:t>Washington, D.C.</w:t>
      </w:r>
      <w:r w:rsidR="005A0EB6">
        <w:rPr>
          <w:rFonts w:eastAsia="Times New Roman" w:cs="Arial"/>
          <w:color w:val="000000" w:themeColor="text1"/>
          <w:sz w:val="21"/>
          <w:szCs w:val="21"/>
        </w:rPr>
        <w:t xml:space="preserve"> – </w:t>
      </w:r>
      <w:r w:rsidR="000141D8" w:rsidRPr="000141D8">
        <w:rPr>
          <w:rFonts w:eastAsia="Times New Roman" w:cs="Arial"/>
          <w:color w:val="000000" w:themeColor="text1"/>
          <w:sz w:val="21"/>
          <w:szCs w:val="21"/>
        </w:rPr>
        <w:t>The Board of Trustees for Trust for Credit Unions (TCU), the oldest and largest mutual fund family created for and by credit unions, renewed key contracts for administration and distribution during its quarterly meeting</w:t>
      </w:r>
      <w:r w:rsidR="000141D8">
        <w:rPr>
          <w:rFonts w:eastAsia="Times New Roman" w:cs="Arial"/>
          <w:color w:val="000000" w:themeColor="text1"/>
          <w:sz w:val="21"/>
          <w:szCs w:val="21"/>
        </w:rPr>
        <w:t xml:space="preserve"> </w:t>
      </w:r>
      <w:r w:rsidR="00161B64">
        <w:rPr>
          <w:rFonts w:eastAsia="Times New Roman" w:cs="Arial"/>
          <w:color w:val="000000" w:themeColor="text1"/>
          <w:sz w:val="21"/>
          <w:szCs w:val="21"/>
        </w:rPr>
        <w:t>this month</w:t>
      </w:r>
      <w:r w:rsidR="000141D8" w:rsidRPr="000141D8">
        <w:rPr>
          <w:rFonts w:eastAsia="Times New Roman" w:cs="Arial"/>
          <w:color w:val="000000" w:themeColor="text1"/>
          <w:sz w:val="21"/>
          <w:szCs w:val="21"/>
        </w:rPr>
        <w:t>.</w:t>
      </w:r>
      <w:r w:rsidR="000141D8">
        <w:rPr>
          <w:rFonts w:eastAsia="Times New Roman" w:cs="Arial"/>
          <w:color w:val="000000" w:themeColor="text1"/>
          <w:sz w:val="21"/>
          <w:szCs w:val="21"/>
        </w:rPr>
        <w:t xml:space="preserve"> </w:t>
      </w:r>
    </w:p>
    <w:p w14:paraId="3E0E1C2B" w14:textId="77777777" w:rsidR="000141D8" w:rsidRDefault="000141D8" w:rsidP="000141D8">
      <w:pPr>
        <w:spacing w:after="0" w:line="360" w:lineRule="auto"/>
        <w:rPr>
          <w:rFonts w:eastAsia="Times New Roman" w:cs="Arial"/>
          <w:color w:val="000000" w:themeColor="text1"/>
          <w:sz w:val="21"/>
          <w:szCs w:val="21"/>
        </w:rPr>
      </w:pPr>
    </w:p>
    <w:p w14:paraId="03740759" w14:textId="117BA890" w:rsidR="000141D8" w:rsidRDefault="000141D8" w:rsidP="000141D8">
      <w:pPr>
        <w:spacing w:after="0" w:line="360" w:lineRule="auto"/>
        <w:rPr>
          <w:rFonts w:eastAsia="Times New Roman" w:cs="Arial"/>
          <w:color w:val="000000" w:themeColor="text1"/>
          <w:sz w:val="21"/>
          <w:szCs w:val="21"/>
        </w:rPr>
      </w:pPr>
      <w:r w:rsidRPr="000141D8">
        <w:rPr>
          <w:rFonts w:eastAsia="Times New Roman" w:cs="Arial"/>
          <w:color w:val="000000" w:themeColor="text1"/>
          <w:sz w:val="21"/>
          <w:szCs w:val="21"/>
        </w:rPr>
        <w:t xml:space="preserve">As part of its ongoing governance role, the Board of Trustees reviews and evaluates each </w:t>
      </w:r>
      <w:r>
        <w:rPr>
          <w:rFonts w:eastAsia="Times New Roman" w:cs="Arial"/>
          <w:color w:val="000000" w:themeColor="text1"/>
          <w:sz w:val="21"/>
          <w:szCs w:val="21"/>
        </w:rPr>
        <w:t xml:space="preserve">of its </w:t>
      </w:r>
      <w:r w:rsidRPr="000141D8">
        <w:rPr>
          <w:rFonts w:eastAsia="Times New Roman" w:cs="Arial"/>
          <w:color w:val="000000" w:themeColor="text1"/>
          <w:sz w:val="21"/>
          <w:szCs w:val="21"/>
        </w:rPr>
        <w:t>provider</w:t>
      </w:r>
      <w:r>
        <w:rPr>
          <w:rFonts w:eastAsia="Times New Roman" w:cs="Arial"/>
          <w:color w:val="000000" w:themeColor="text1"/>
          <w:sz w:val="21"/>
          <w:szCs w:val="21"/>
        </w:rPr>
        <w:t>s</w:t>
      </w:r>
      <w:r w:rsidRPr="000141D8">
        <w:rPr>
          <w:rFonts w:eastAsia="Times New Roman" w:cs="Arial"/>
          <w:color w:val="000000" w:themeColor="text1"/>
          <w:sz w:val="21"/>
          <w:szCs w:val="21"/>
        </w:rPr>
        <w:t xml:space="preserve"> annually to ensure that its credit union investors are receiving the best services available.</w:t>
      </w:r>
      <w:r>
        <w:rPr>
          <w:rFonts w:eastAsia="Times New Roman" w:cs="Arial"/>
          <w:color w:val="000000" w:themeColor="text1"/>
          <w:sz w:val="21"/>
          <w:szCs w:val="21"/>
        </w:rPr>
        <w:t xml:space="preserve"> </w:t>
      </w:r>
      <w:r w:rsidRPr="000141D8">
        <w:rPr>
          <w:rFonts w:eastAsia="Times New Roman" w:cs="Arial"/>
          <w:color w:val="000000" w:themeColor="text1"/>
          <w:sz w:val="21"/>
          <w:szCs w:val="21"/>
        </w:rPr>
        <w:t>Callahan Financial Services, Inc. (CFS) will continue to serve as TCU’s distributor. CFS is a registered broker/dealer and a subsidiary of Callahan &amp; Associates. This organization has been responsible for the marketing and sales of TCU since the funds’ inception and has a deep understanding of the credit union industry’s unique needs.</w:t>
      </w:r>
    </w:p>
    <w:p w14:paraId="28804B6F" w14:textId="77777777" w:rsidR="000141D8" w:rsidRPr="000141D8" w:rsidRDefault="000141D8" w:rsidP="000141D8">
      <w:pPr>
        <w:spacing w:after="0" w:line="360" w:lineRule="auto"/>
        <w:rPr>
          <w:rFonts w:eastAsia="Times New Roman" w:cs="Arial"/>
          <w:color w:val="000000" w:themeColor="text1"/>
          <w:sz w:val="21"/>
          <w:szCs w:val="21"/>
        </w:rPr>
      </w:pPr>
    </w:p>
    <w:p w14:paraId="154A9ABB" w14:textId="5CDA9912" w:rsidR="000141D8" w:rsidRDefault="000141D8" w:rsidP="000141D8">
      <w:pPr>
        <w:spacing w:after="0" w:line="360" w:lineRule="auto"/>
        <w:rPr>
          <w:rFonts w:eastAsia="Times New Roman" w:cs="Arial"/>
          <w:color w:val="000000" w:themeColor="text1"/>
          <w:sz w:val="21"/>
          <w:szCs w:val="21"/>
        </w:rPr>
      </w:pPr>
      <w:r w:rsidRPr="000141D8">
        <w:rPr>
          <w:rFonts w:eastAsia="Times New Roman" w:cs="Arial"/>
          <w:color w:val="000000" w:themeColor="text1"/>
          <w:sz w:val="21"/>
          <w:szCs w:val="21"/>
        </w:rPr>
        <w:t xml:space="preserve">Callahan Credit Union Financial Services Limited Liability Partnership (CUFSLP) will continue to serve as administrator for TCU.  </w:t>
      </w:r>
      <w:r w:rsidRPr="005A6338">
        <w:rPr>
          <w:rFonts w:eastAsia="Times New Roman" w:cs="Arial"/>
          <w:color w:val="000000" w:themeColor="text1"/>
          <w:sz w:val="21"/>
          <w:szCs w:val="21"/>
        </w:rPr>
        <w:t>Thirty-seven</w:t>
      </w:r>
      <w:r w:rsidRPr="000141D8">
        <w:rPr>
          <w:rFonts w:eastAsia="Times New Roman" w:cs="Arial"/>
          <w:color w:val="000000" w:themeColor="text1"/>
          <w:sz w:val="21"/>
          <w:szCs w:val="21"/>
        </w:rPr>
        <w:t xml:space="preserve"> leading credit unions, along with Callahan Financial Services as general partner, provide innovation, collaboration and thought leadership through CUFSLP. As the original founder and long-time administrator of TCU, this group of credit union executives also provides direct input regarding credit unions’ ongoing investment and strategic needs.</w:t>
      </w:r>
    </w:p>
    <w:p w14:paraId="492F26C6" w14:textId="77777777" w:rsidR="000141D8" w:rsidRPr="000141D8" w:rsidRDefault="000141D8" w:rsidP="000141D8">
      <w:pPr>
        <w:spacing w:after="0" w:line="360" w:lineRule="auto"/>
        <w:rPr>
          <w:rFonts w:eastAsia="Times New Roman" w:cs="Arial"/>
          <w:color w:val="000000" w:themeColor="text1"/>
          <w:sz w:val="21"/>
          <w:szCs w:val="21"/>
        </w:rPr>
      </w:pPr>
    </w:p>
    <w:p w14:paraId="10179EDD" w14:textId="1A8EBA61" w:rsidR="00CE4663" w:rsidRDefault="001942F5" w:rsidP="00860777">
      <w:pPr>
        <w:spacing w:after="0" w:line="360" w:lineRule="auto"/>
        <w:rPr>
          <w:rFonts w:eastAsia="Times New Roman" w:cs="Arial"/>
          <w:color w:val="000000" w:themeColor="text1"/>
          <w:sz w:val="21"/>
          <w:szCs w:val="21"/>
        </w:rPr>
      </w:pPr>
      <w:r w:rsidRPr="001942F5">
        <w:rPr>
          <w:rFonts w:eastAsia="Times New Roman" w:cs="Arial"/>
          <w:color w:val="000000" w:themeColor="text1"/>
          <w:sz w:val="21"/>
          <w:szCs w:val="21"/>
        </w:rPr>
        <w:t xml:space="preserve">“When credit union leaders came together in 1987 to launch TCU, it was their goal to provide competitive alternatives for the industry that would stand the test of time. We’re proud to have served credit unions for more than 30 years and look forward to continuing to support the industry for many years to come,” said Jay Johnson, President </w:t>
      </w:r>
      <w:r w:rsidRPr="001942F5">
        <w:rPr>
          <w:rFonts w:eastAsia="Times New Roman" w:cs="Arial"/>
          <w:color w:val="000000" w:themeColor="text1"/>
          <w:sz w:val="21"/>
          <w:szCs w:val="21"/>
        </w:rPr>
        <w:lastRenderedPageBreak/>
        <w:t>of TCU. “TCU is here to provide credit unions with the institutional investments they need, whenever they need them.”</w:t>
      </w:r>
      <w:r w:rsidRPr="001942F5">
        <w:rPr>
          <w:rFonts w:eastAsia="Times New Roman" w:cs="Arial"/>
          <w:color w:val="000000" w:themeColor="text1"/>
          <w:sz w:val="21"/>
          <w:szCs w:val="21"/>
        </w:rPr>
        <w:cr/>
      </w:r>
    </w:p>
    <w:p w14:paraId="6BB9D18C" w14:textId="41E6B980" w:rsidR="00BC7CCD" w:rsidRDefault="002A2B1C" w:rsidP="00860777">
      <w:pPr>
        <w:spacing w:after="0" w:line="360" w:lineRule="auto"/>
        <w:rPr>
          <w:rFonts w:cs="Arial"/>
          <w:color w:val="000000" w:themeColor="text1"/>
          <w:sz w:val="21"/>
          <w:szCs w:val="21"/>
        </w:rPr>
      </w:pPr>
      <w:r w:rsidRPr="002A2B1C">
        <w:rPr>
          <w:rFonts w:eastAsia="Times New Roman" w:cs="Arial"/>
          <w:color w:val="000000" w:themeColor="text1"/>
          <w:sz w:val="21"/>
          <w:szCs w:val="21"/>
        </w:rPr>
        <w:t xml:space="preserve">TCU helps credit unions succeed by providing a professionally managed family of mutual funds --- exclusive to credit unions --- as well as the information and analysis they need to support investment decisions. Created by leading credit </w:t>
      </w:r>
      <w:r w:rsidR="00354F5E" w:rsidRPr="00354F5E">
        <w:rPr>
          <w:rFonts w:cs="Arial"/>
          <w:color w:val="000000" w:themeColor="text1"/>
          <w:sz w:val="21"/>
          <w:szCs w:val="21"/>
        </w:rPr>
        <w:t>unions with oversight by a board of trustees, TCU’s mutual fund options are professionally managed</w:t>
      </w:r>
      <w:r w:rsidR="00AB1702">
        <w:rPr>
          <w:rFonts w:cs="Arial"/>
          <w:color w:val="000000" w:themeColor="text1"/>
          <w:sz w:val="21"/>
          <w:szCs w:val="21"/>
        </w:rPr>
        <w:t xml:space="preserve"> </w:t>
      </w:r>
      <w:r w:rsidR="00354F5E" w:rsidRPr="00354F5E">
        <w:rPr>
          <w:rFonts w:cs="Arial"/>
          <w:color w:val="000000" w:themeColor="text1"/>
          <w:sz w:val="21"/>
          <w:szCs w:val="21"/>
        </w:rPr>
        <w:t xml:space="preserve">and are based on the cooperative values of credit unions. </w:t>
      </w:r>
    </w:p>
    <w:p w14:paraId="39AD9B3D" w14:textId="77777777" w:rsidR="003F7593" w:rsidRPr="003818DE" w:rsidRDefault="003F7593" w:rsidP="00860777">
      <w:pPr>
        <w:spacing w:after="0" w:line="360" w:lineRule="auto"/>
        <w:rPr>
          <w:rFonts w:eastAsia="Times New Roman" w:cs="Arial"/>
          <w:color w:val="000000" w:themeColor="text1"/>
          <w:sz w:val="21"/>
          <w:szCs w:val="21"/>
        </w:rPr>
      </w:pPr>
    </w:p>
    <w:p w14:paraId="025C4B47" w14:textId="670DA0F3" w:rsidR="00354F5E" w:rsidRDefault="00354F5E" w:rsidP="00354F5E">
      <w:pPr>
        <w:spacing w:line="360" w:lineRule="auto"/>
        <w:rPr>
          <w:rFonts w:cs="Arial"/>
          <w:color w:val="000000" w:themeColor="text1"/>
          <w:sz w:val="21"/>
          <w:szCs w:val="21"/>
        </w:rPr>
      </w:pPr>
      <w:r w:rsidRPr="00354F5E">
        <w:rPr>
          <w:rFonts w:cs="Arial"/>
          <w:color w:val="000000" w:themeColor="text1"/>
          <w:sz w:val="21"/>
          <w:szCs w:val="21"/>
        </w:rPr>
        <w:t xml:space="preserve">In addition to the mutual fund products TCU offers, credit union professionals can also take advantage of a wide range of educational investment information and resources, including daily and monthly market commentaries. For more information, visit </w:t>
      </w:r>
      <w:hyperlink r:id="rId7" w:history="1">
        <w:r w:rsidRPr="00A362A8">
          <w:rPr>
            <w:rStyle w:val="Hyperlink"/>
            <w:rFonts w:cs="Arial"/>
            <w:sz w:val="21"/>
            <w:szCs w:val="21"/>
          </w:rPr>
          <w:t>www.trustcu.com</w:t>
        </w:r>
      </w:hyperlink>
      <w:r w:rsidRPr="00354F5E">
        <w:rPr>
          <w:rFonts w:cs="Arial"/>
          <w:color w:val="000000" w:themeColor="text1"/>
          <w:sz w:val="21"/>
          <w:szCs w:val="21"/>
        </w:rPr>
        <w:t xml:space="preserve"> or contact TCU at 800-</w:t>
      </w:r>
      <w:r w:rsidR="00A362A8">
        <w:rPr>
          <w:rFonts w:cs="Arial"/>
          <w:color w:val="000000" w:themeColor="text1"/>
          <w:sz w:val="21"/>
          <w:szCs w:val="21"/>
        </w:rPr>
        <w:t>237</w:t>
      </w:r>
      <w:r w:rsidRPr="00354F5E">
        <w:rPr>
          <w:rFonts w:cs="Arial"/>
          <w:color w:val="000000" w:themeColor="text1"/>
          <w:sz w:val="21"/>
          <w:szCs w:val="21"/>
        </w:rPr>
        <w:t>-5678.</w:t>
      </w:r>
    </w:p>
    <w:p w14:paraId="18951A22" w14:textId="6CBBF96A" w:rsidR="00F2314F" w:rsidRPr="00F2314F" w:rsidRDefault="00F2314F" w:rsidP="00354F5E">
      <w:pPr>
        <w:spacing w:line="360" w:lineRule="auto"/>
        <w:rPr>
          <w:rFonts w:cs="Calibri"/>
          <w:b/>
          <w:bCs/>
          <w:color w:val="000000" w:themeColor="text1"/>
          <w:szCs w:val="18"/>
        </w:rPr>
      </w:pPr>
      <w:r w:rsidRPr="00F2314F">
        <w:rPr>
          <w:rFonts w:cs="Calibri"/>
          <w:b/>
          <w:bCs/>
          <w:color w:val="000000" w:themeColor="text1"/>
          <w:szCs w:val="18"/>
        </w:rPr>
        <w:t>About T</w:t>
      </w:r>
      <w:r w:rsidR="00A34B04">
        <w:rPr>
          <w:rFonts w:cs="Calibri"/>
          <w:b/>
          <w:bCs/>
          <w:color w:val="000000" w:themeColor="text1"/>
          <w:szCs w:val="18"/>
        </w:rPr>
        <w:t>rust for Credit Unions</w:t>
      </w:r>
    </w:p>
    <w:p w14:paraId="2B184BFE" w14:textId="21012AB8" w:rsidR="00B8720A" w:rsidRDefault="00B8720A" w:rsidP="00B8720A">
      <w:pPr>
        <w:rPr>
          <w:rFonts w:cs="Calibri"/>
          <w:color w:val="000000" w:themeColor="text1"/>
          <w:szCs w:val="18"/>
        </w:rPr>
      </w:pPr>
      <w:r w:rsidRPr="00F2314F">
        <w:rPr>
          <w:rFonts w:cs="Calibri"/>
          <w:bCs/>
          <w:color w:val="000000" w:themeColor="text1"/>
          <w:szCs w:val="18"/>
        </w:rPr>
        <w:t xml:space="preserve">The Trust for Credit Unions (TCU) </w:t>
      </w:r>
      <w:r w:rsidRPr="00F2314F">
        <w:rPr>
          <w:rFonts w:cs="Calibri"/>
          <w:color w:val="000000" w:themeColor="text1"/>
          <w:szCs w:val="18"/>
        </w:rPr>
        <w:t xml:space="preserve">is a family of institutional mutual funds offered exclusively to credit unions. </w:t>
      </w:r>
      <w:r w:rsidRPr="00F2314F">
        <w:rPr>
          <w:rFonts w:cs="Calibri"/>
          <w:bCs/>
          <w:color w:val="000000" w:themeColor="text1"/>
          <w:szCs w:val="18"/>
        </w:rPr>
        <w:t>Callahan Financial Services</w:t>
      </w:r>
      <w:r w:rsidRPr="00B8720A">
        <w:rPr>
          <w:rFonts w:cs="Calibri"/>
          <w:b/>
          <w:bCs/>
          <w:color w:val="000000" w:themeColor="text1"/>
          <w:szCs w:val="18"/>
        </w:rPr>
        <w:t xml:space="preserve"> </w:t>
      </w:r>
      <w:r w:rsidRPr="00B8720A">
        <w:rPr>
          <w:rFonts w:cs="Calibri"/>
          <w:color w:val="000000" w:themeColor="text1"/>
          <w:szCs w:val="18"/>
        </w:rPr>
        <w:t xml:space="preserve">is a wholly owned subsidiary of Callahan &amp; Associates and is the distributor of the TCU mutual funds. </w:t>
      </w:r>
      <w:r w:rsidR="002D37B4">
        <w:rPr>
          <w:rFonts w:cs="Calibri"/>
          <w:color w:val="000000" w:themeColor="text1"/>
          <w:szCs w:val="18"/>
        </w:rPr>
        <w:t>ALM First Financial Advisors, LLC</w:t>
      </w:r>
      <w:r w:rsidRPr="00B8720A">
        <w:rPr>
          <w:rFonts w:cs="Calibri"/>
          <w:color w:val="000000" w:themeColor="text1"/>
          <w:szCs w:val="18"/>
        </w:rPr>
        <w:t xml:space="preserve"> is the investment adviser of the TCU mutual funds. To obtain a prospectus that contains detailed fund information including investment policies, risk considerations, charges and expenses, call Callahan Financial Services, Inc. at 800-CFS-5678. Please read the prospectus carefully.</w:t>
      </w:r>
    </w:p>
    <w:p w14:paraId="44D0A47E" w14:textId="7B3DD32A" w:rsidR="002779B9" w:rsidRDefault="00906A5B" w:rsidP="00B8720A">
      <w:pPr>
        <w:rPr>
          <w:rFonts w:cs="Calibri"/>
          <w:color w:val="000000" w:themeColor="text1"/>
          <w:szCs w:val="18"/>
        </w:rPr>
      </w:pPr>
      <w:r w:rsidRPr="00906A5B">
        <w:rPr>
          <w:rFonts w:cs="Calibri"/>
          <w:color w:val="000000" w:themeColor="text1"/>
          <w:szCs w:val="18"/>
        </w:rPr>
        <w:t>*The yields reflect the 30-day Effective Yield (net of fees/expenses). For questions please call the TCU Group at 1-800-237-5678.</w:t>
      </w:r>
    </w:p>
    <w:p w14:paraId="40AAC9AA" w14:textId="17068939" w:rsidR="00BB474E" w:rsidRPr="00DB2554" w:rsidRDefault="00B8720A" w:rsidP="00DB2554">
      <w:pPr>
        <w:spacing w:line="360" w:lineRule="auto"/>
        <w:jc w:val="center"/>
        <w:rPr>
          <w:color w:val="595959" w:themeColor="text1" w:themeTint="A6"/>
        </w:rPr>
      </w:pPr>
      <w:r w:rsidRPr="00B8720A">
        <w:rPr>
          <w:color w:val="595959" w:themeColor="text1" w:themeTint="A6"/>
        </w:rPr>
        <w:t># # #</w:t>
      </w:r>
    </w:p>
    <w:sectPr w:rsidR="00BB474E" w:rsidRPr="00DB2554" w:rsidSect="009729CA">
      <w:headerReference w:type="default" r:id="rId8"/>
      <w:footerReference w:type="default" r:id="rId9"/>
      <w:pgSz w:w="12240" w:h="15840"/>
      <w:pgMar w:top="32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7E95C1" w14:textId="77777777" w:rsidR="00037022" w:rsidRDefault="00037022" w:rsidP="009729CA">
      <w:pPr>
        <w:spacing w:after="0" w:line="240" w:lineRule="auto"/>
      </w:pPr>
      <w:r>
        <w:separator/>
      </w:r>
    </w:p>
  </w:endnote>
  <w:endnote w:type="continuationSeparator" w:id="0">
    <w:p w14:paraId="348735BF" w14:textId="77777777" w:rsidR="00037022" w:rsidRDefault="00037022" w:rsidP="00972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20967" w14:textId="77777777" w:rsidR="00F23D12" w:rsidRPr="00F23D12" w:rsidRDefault="00F23D12">
    <w:pPr>
      <w:pStyle w:val="Footer"/>
      <w:rPr>
        <w:sz w:val="14"/>
        <w:szCs w:val="14"/>
      </w:rPr>
    </w:pPr>
    <w:r w:rsidRPr="00F23D12">
      <w:rPr>
        <w:sz w:val="14"/>
        <w:szCs w:val="14"/>
      </w:rPr>
      <w:t xml:space="preserve">1-800-237-5678 | </w:t>
    </w:r>
    <w:hyperlink r:id="rId1" w:history="1">
      <w:r w:rsidRPr="00F23D12">
        <w:rPr>
          <w:rStyle w:val="Hyperlink"/>
          <w:sz w:val="14"/>
          <w:szCs w:val="14"/>
        </w:rPr>
        <w:t>TCUgroup@trustcu.com</w:t>
      </w:r>
    </w:hyperlink>
  </w:p>
  <w:p w14:paraId="585F9573" w14:textId="77777777" w:rsidR="00F23D12" w:rsidRPr="00F23D12" w:rsidRDefault="00F23D12">
    <w:pPr>
      <w:pStyle w:val="Footer"/>
      <w:rPr>
        <w:sz w:val="14"/>
        <w:szCs w:val="14"/>
      </w:rPr>
    </w:pPr>
    <w:r w:rsidRPr="00F23D12">
      <w:rPr>
        <w:sz w:val="14"/>
        <w:szCs w:val="14"/>
      </w:rPr>
      <w:t>1001 Connecticut Ave, NW, Suite 1001, Washington DC 20036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BE59EF" w14:textId="77777777" w:rsidR="00037022" w:rsidRDefault="00037022" w:rsidP="009729CA">
      <w:pPr>
        <w:spacing w:after="0" w:line="240" w:lineRule="auto"/>
      </w:pPr>
      <w:r>
        <w:separator/>
      </w:r>
    </w:p>
  </w:footnote>
  <w:footnote w:type="continuationSeparator" w:id="0">
    <w:p w14:paraId="22590F8A" w14:textId="77777777" w:rsidR="00037022" w:rsidRDefault="00037022" w:rsidP="009729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E02BD" w14:textId="77777777" w:rsidR="009729CA" w:rsidRDefault="009729CA" w:rsidP="009729CA">
    <w:pPr>
      <w:pStyle w:val="Header"/>
      <w:ind w:left="-540"/>
    </w:pPr>
    <w:r>
      <w:rPr>
        <w:noProof/>
      </w:rPr>
      <w:drawing>
        <wp:inline distT="0" distB="0" distL="0" distR="0" wp14:anchorId="4C32A65B" wp14:editId="4E24C401">
          <wp:extent cx="6565811" cy="1407160"/>
          <wp:effectExtent l="0" t="0" r="698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U-Press release wor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65811" cy="140716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9CA"/>
    <w:rsid w:val="00001EC4"/>
    <w:rsid w:val="00010D6C"/>
    <w:rsid w:val="000141D8"/>
    <w:rsid w:val="000149B6"/>
    <w:rsid w:val="00020489"/>
    <w:rsid w:val="00021FA9"/>
    <w:rsid w:val="00037022"/>
    <w:rsid w:val="00041928"/>
    <w:rsid w:val="000531B6"/>
    <w:rsid w:val="00057A6D"/>
    <w:rsid w:val="00075D97"/>
    <w:rsid w:val="000806ED"/>
    <w:rsid w:val="00084ACE"/>
    <w:rsid w:val="00087D88"/>
    <w:rsid w:val="00090254"/>
    <w:rsid w:val="00097C1A"/>
    <w:rsid w:val="000B16CA"/>
    <w:rsid w:val="000B2146"/>
    <w:rsid w:val="000C1C85"/>
    <w:rsid w:val="000C53CB"/>
    <w:rsid w:val="000C63EC"/>
    <w:rsid w:val="000C67B0"/>
    <w:rsid w:val="000C7B17"/>
    <w:rsid w:val="000D13AE"/>
    <w:rsid w:val="000D4532"/>
    <w:rsid w:val="000E38FE"/>
    <w:rsid w:val="00105F2C"/>
    <w:rsid w:val="00123137"/>
    <w:rsid w:val="00127586"/>
    <w:rsid w:val="00135580"/>
    <w:rsid w:val="00136DF8"/>
    <w:rsid w:val="00152D7B"/>
    <w:rsid w:val="00153644"/>
    <w:rsid w:val="00161B64"/>
    <w:rsid w:val="00162799"/>
    <w:rsid w:val="00180A9C"/>
    <w:rsid w:val="00180AEB"/>
    <w:rsid w:val="0018300A"/>
    <w:rsid w:val="001942F5"/>
    <w:rsid w:val="001A34F4"/>
    <w:rsid w:val="001A4EEB"/>
    <w:rsid w:val="001D3197"/>
    <w:rsid w:val="001D5426"/>
    <w:rsid w:val="001E131B"/>
    <w:rsid w:val="001E1903"/>
    <w:rsid w:val="001E19EA"/>
    <w:rsid w:val="001E499E"/>
    <w:rsid w:val="002027A2"/>
    <w:rsid w:val="00214AE6"/>
    <w:rsid w:val="00214D7B"/>
    <w:rsid w:val="0023265C"/>
    <w:rsid w:val="00242068"/>
    <w:rsid w:val="00251D8C"/>
    <w:rsid w:val="00276DED"/>
    <w:rsid w:val="00277011"/>
    <w:rsid w:val="002779B9"/>
    <w:rsid w:val="00282B11"/>
    <w:rsid w:val="00295648"/>
    <w:rsid w:val="0029767C"/>
    <w:rsid w:val="002A1D91"/>
    <w:rsid w:val="002A2B1C"/>
    <w:rsid w:val="002A2E9C"/>
    <w:rsid w:val="002B6D93"/>
    <w:rsid w:val="002D37B4"/>
    <w:rsid w:val="002D7058"/>
    <w:rsid w:val="002D7C29"/>
    <w:rsid w:val="002E1184"/>
    <w:rsid w:val="002E4808"/>
    <w:rsid w:val="002F4C40"/>
    <w:rsid w:val="00320310"/>
    <w:rsid w:val="00323BCE"/>
    <w:rsid w:val="0032449E"/>
    <w:rsid w:val="00340F1B"/>
    <w:rsid w:val="0034138D"/>
    <w:rsid w:val="00354F5E"/>
    <w:rsid w:val="00361268"/>
    <w:rsid w:val="00365D8D"/>
    <w:rsid w:val="0037060E"/>
    <w:rsid w:val="00374E96"/>
    <w:rsid w:val="00375EF4"/>
    <w:rsid w:val="003818DE"/>
    <w:rsid w:val="00386A69"/>
    <w:rsid w:val="003916F4"/>
    <w:rsid w:val="00394FD4"/>
    <w:rsid w:val="003A0F11"/>
    <w:rsid w:val="003A5FDE"/>
    <w:rsid w:val="003B3DEE"/>
    <w:rsid w:val="003C0EA7"/>
    <w:rsid w:val="003C16E4"/>
    <w:rsid w:val="003C71A8"/>
    <w:rsid w:val="003C7E31"/>
    <w:rsid w:val="003C7E69"/>
    <w:rsid w:val="003D6738"/>
    <w:rsid w:val="003D7082"/>
    <w:rsid w:val="003E611F"/>
    <w:rsid w:val="003F497D"/>
    <w:rsid w:val="003F7593"/>
    <w:rsid w:val="0040566C"/>
    <w:rsid w:val="00417B6C"/>
    <w:rsid w:val="0042044A"/>
    <w:rsid w:val="00421B45"/>
    <w:rsid w:val="00433582"/>
    <w:rsid w:val="00435F68"/>
    <w:rsid w:val="004524B2"/>
    <w:rsid w:val="00462A5B"/>
    <w:rsid w:val="0046570E"/>
    <w:rsid w:val="00476EFD"/>
    <w:rsid w:val="004843E0"/>
    <w:rsid w:val="004A5EEA"/>
    <w:rsid w:val="004B2D9B"/>
    <w:rsid w:val="004B4284"/>
    <w:rsid w:val="004B7708"/>
    <w:rsid w:val="004B79E9"/>
    <w:rsid w:val="004C33B2"/>
    <w:rsid w:val="004C7989"/>
    <w:rsid w:val="004E243C"/>
    <w:rsid w:val="004F3971"/>
    <w:rsid w:val="0051285C"/>
    <w:rsid w:val="00512F4A"/>
    <w:rsid w:val="0053140B"/>
    <w:rsid w:val="00536939"/>
    <w:rsid w:val="00536A0F"/>
    <w:rsid w:val="00540E5D"/>
    <w:rsid w:val="00557E37"/>
    <w:rsid w:val="00561E12"/>
    <w:rsid w:val="0056359A"/>
    <w:rsid w:val="00570198"/>
    <w:rsid w:val="005753A2"/>
    <w:rsid w:val="005A0EB6"/>
    <w:rsid w:val="005A19C3"/>
    <w:rsid w:val="005A2FC0"/>
    <w:rsid w:val="005A5324"/>
    <w:rsid w:val="005A6338"/>
    <w:rsid w:val="005A756F"/>
    <w:rsid w:val="005B2DD0"/>
    <w:rsid w:val="005B60D6"/>
    <w:rsid w:val="005C27EE"/>
    <w:rsid w:val="005C2BF4"/>
    <w:rsid w:val="005C6440"/>
    <w:rsid w:val="005D7F31"/>
    <w:rsid w:val="005E280D"/>
    <w:rsid w:val="005E3315"/>
    <w:rsid w:val="005E3CE3"/>
    <w:rsid w:val="005E6C96"/>
    <w:rsid w:val="00623ED7"/>
    <w:rsid w:val="00626430"/>
    <w:rsid w:val="00630C4F"/>
    <w:rsid w:val="00656844"/>
    <w:rsid w:val="0065790C"/>
    <w:rsid w:val="00662D79"/>
    <w:rsid w:val="00670152"/>
    <w:rsid w:val="00685100"/>
    <w:rsid w:val="006912C5"/>
    <w:rsid w:val="00692B95"/>
    <w:rsid w:val="0069663D"/>
    <w:rsid w:val="006A2B1F"/>
    <w:rsid w:val="006A2FF6"/>
    <w:rsid w:val="006A6E65"/>
    <w:rsid w:val="006E1514"/>
    <w:rsid w:val="00707DA0"/>
    <w:rsid w:val="007143D7"/>
    <w:rsid w:val="00720879"/>
    <w:rsid w:val="00724188"/>
    <w:rsid w:val="0073209F"/>
    <w:rsid w:val="007371F6"/>
    <w:rsid w:val="00737BCB"/>
    <w:rsid w:val="00744183"/>
    <w:rsid w:val="007572C9"/>
    <w:rsid w:val="0078403E"/>
    <w:rsid w:val="00787F3B"/>
    <w:rsid w:val="00794DC7"/>
    <w:rsid w:val="007A115D"/>
    <w:rsid w:val="007A1E06"/>
    <w:rsid w:val="007A602D"/>
    <w:rsid w:val="007A7D92"/>
    <w:rsid w:val="007C334E"/>
    <w:rsid w:val="007C3484"/>
    <w:rsid w:val="007C7A91"/>
    <w:rsid w:val="007D0631"/>
    <w:rsid w:val="007E2E59"/>
    <w:rsid w:val="007E459D"/>
    <w:rsid w:val="007E5C5A"/>
    <w:rsid w:val="007F758B"/>
    <w:rsid w:val="00804707"/>
    <w:rsid w:val="008357D6"/>
    <w:rsid w:val="00843030"/>
    <w:rsid w:val="00846FC8"/>
    <w:rsid w:val="00850930"/>
    <w:rsid w:val="0085394C"/>
    <w:rsid w:val="00860777"/>
    <w:rsid w:val="00863E07"/>
    <w:rsid w:val="00873A81"/>
    <w:rsid w:val="0087536A"/>
    <w:rsid w:val="00881040"/>
    <w:rsid w:val="00886E6D"/>
    <w:rsid w:val="008A30A0"/>
    <w:rsid w:val="008B0768"/>
    <w:rsid w:val="008C003D"/>
    <w:rsid w:val="008C6D91"/>
    <w:rsid w:val="008D18BF"/>
    <w:rsid w:val="008D1C01"/>
    <w:rsid w:val="008D60A1"/>
    <w:rsid w:val="008E2372"/>
    <w:rsid w:val="008E341D"/>
    <w:rsid w:val="008F0DE3"/>
    <w:rsid w:val="008F3F09"/>
    <w:rsid w:val="008F5D28"/>
    <w:rsid w:val="00903D94"/>
    <w:rsid w:val="00904B45"/>
    <w:rsid w:val="00906A5B"/>
    <w:rsid w:val="009256DE"/>
    <w:rsid w:val="00945BAB"/>
    <w:rsid w:val="0095115F"/>
    <w:rsid w:val="00952CC4"/>
    <w:rsid w:val="009665D5"/>
    <w:rsid w:val="009729CA"/>
    <w:rsid w:val="0098687E"/>
    <w:rsid w:val="0099046F"/>
    <w:rsid w:val="009A4CC8"/>
    <w:rsid w:val="009B2369"/>
    <w:rsid w:val="009C44F6"/>
    <w:rsid w:val="009E27D9"/>
    <w:rsid w:val="009E61D3"/>
    <w:rsid w:val="00A06B44"/>
    <w:rsid w:val="00A1137E"/>
    <w:rsid w:val="00A240AE"/>
    <w:rsid w:val="00A25269"/>
    <w:rsid w:val="00A34B04"/>
    <w:rsid w:val="00A3512B"/>
    <w:rsid w:val="00A35B94"/>
    <w:rsid w:val="00A362A8"/>
    <w:rsid w:val="00A368E4"/>
    <w:rsid w:val="00A41955"/>
    <w:rsid w:val="00A42D50"/>
    <w:rsid w:val="00A50348"/>
    <w:rsid w:val="00A512E5"/>
    <w:rsid w:val="00A53509"/>
    <w:rsid w:val="00A66AF5"/>
    <w:rsid w:val="00A66ED1"/>
    <w:rsid w:val="00A720E6"/>
    <w:rsid w:val="00A73D5B"/>
    <w:rsid w:val="00A76B58"/>
    <w:rsid w:val="00A9149A"/>
    <w:rsid w:val="00A94173"/>
    <w:rsid w:val="00A962FB"/>
    <w:rsid w:val="00A96E3E"/>
    <w:rsid w:val="00AA0DC4"/>
    <w:rsid w:val="00AA7218"/>
    <w:rsid w:val="00AB1702"/>
    <w:rsid w:val="00AB335F"/>
    <w:rsid w:val="00AB522F"/>
    <w:rsid w:val="00AC162D"/>
    <w:rsid w:val="00AC4675"/>
    <w:rsid w:val="00AD172C"/>
    <w:rsid w:val="00AD19F8"/>
    <w:rsid w:val="00AD450C"/>
    <w:rsid w:val="00AD6376"/>
    <w:rsid w:val="00AD7EA1"/>
    <w:rsid w:val="00AE795C"/>
    <w:rsid w:val="00AF3C58"/>
    <w:rsid w:val="00B000B9"/>
    <w:rsid w:val="00B01D9D"/>
    <w:rsid w:val="00B121AA"/>
    <w:rsid w:val="00B1771D"/>
    <w:rsid w:val="00B23928"/>
    <w:rsid w:val="00B23DB5"/>
    <w:rsid w:val="00B35690"/>
    <w:rsid w:val="00B42567"/>
    <w:rsid w:val="00B46B34"/>
    <w:rsid w:val="00B575CD"/>
    <w:rsid w:val="00B660A2"/>
    <w:rsid w:val="00B71445"/>
    <w:rsid w:val="00B772DB"/>
    <w:rsid w:val="00B77342"/>
    <w:rsid w:val="00B80F78"/>
    <w:rsid w:val="00B8720A"/>
    <w:rsid w:val="00B91AD6"/>
    <w:rsid w:val="00BA53FE"/>
    <w:rsid w:val="00BA7ABD"/>
    <w:rsid w:val="00BB474E"/>
    <w:rsid w:val="00BB6205"/>
    <w:rsid w:val="00BB7637"/>
    <w:rsid w:val="00BC3DAE"/>
    <w:rsid w:val="00BC5D94"/>
    <w:rsid w:val="00BC667B"/>
    <w:rsid w:val="00BC7CCD"/>
    <w:rsid w:val="00BE59B5"/>
    <w:rsid w:val="00C149F5"/>
    <w:rsid w:val="00C27C2D"/>
    <w:rsid w:val="00C35FDD"/>
    <w:rsid w:val="00C5721D"/>
    <w:rsid w:val="00C67E7D"/>
    <w:rsid w:val="00C721E4"/>
    <w:rsid w:val="00C836F9"/>
    <w:rsid w:val="00C8703D"/>
    <w:rsid w:val="00C919C1"/>
    <w:rsid w:val="00C94057"/>
    <w:rsid w:val="00CA1D9B"/>
    <w:rsid w:val="00CA3326"/>
    <w:rsid w:val="00CA37A9"/>
    <w:rsid w:val="00CA6E0D"/>
    <w:rsid w:val="00CB5BA8"/>
    <w:rsid w:val="00CC2AE6"/>
    <w:rsid w:val="00CC5ECB"/>
    <w:rsid w:val="00CD1ED5"/>
    <w:rsid w:val="00CD6631"/>
    <w:rsid w:val="00CD6972"/>
    <w:rsid w:val="00CE22CA"/>
    <w:rsid w:val="00CE4663"/>
    <w:rsid w:val="00CE542D"/>
    <w:rsid w:val="00CF0E6E"/>
    <w:rsid w:val="00CF224D"/>
    <w:rsid w:val="00CF2988"/>
    <w:rsid w:val="00CF3150"/>
    <w:rsid w:val="00CF6532"/>
    <w:rsid w:val="00CF7870"/>
    <w:rsid w:val="00D065DA"/>
    <w:rsid w:val="00D115DC"/>
    <w:rsid w:val="00D14850"/>
    <w:rsid w:val="00D211CB"/>
    <w:rsid w:val="00D22EC1"/>
    <w:rsid w:val="00D32A26"/>
    <w:rsid w:val="00D44ED6"/>
    <w:rsid w:val="00D4642E"/>
    <w:rsid w:val="00D474C7"/>
    <w:rsid w:val="00D52346"/>
    <w:rsid w:val="00D60B09"/>
    <w:rsid w:val="00D74CE0"/>
    <w:rsid w:val="00D7764F"/>
    <w:rsid w:val="00D8102A"/>
    <w:rsid w:val="00D81BDA"/>
    <w:rsid w:val="00D91E87"/>
    <w:rsid w:val="00D96CC0"/>
    <w:rsid w:val="00D97909"/>
    <w:rsid w:val="00DA00A2"/>
    <w:rsid w:val="00DA4FA4"/>
    <w:rsid w:val="00DB0156"/>
    <w:rsid w:val="00DB2554"/>
    <w:rsid w:val="00DB709C"/>
    <w:rsid w:val="00DD12C7"/>
    <w:rsid w:val="00DD7FBF"/>
    <w:rsid w:val="00DF5276"/>
    <w:rsid w:val="00E03B6B"/>
    <w:rsid w:val="00E04B10"/>
    <w:rsid w:val="00E05725"/>
    <w:rsid w:val="00E072AF"/>
    <w:rsid w:val="00E137FA"/>
    <w:rsid w:val="00E308D7"/>
    <w:rsid w:val="00E57550"/>
    <w:rsid w:val="00E60F05"/>
    <w:rsid w:val="00E61180"/>
    <w:rsid w:val="00E77961"/>
    <w:rsid w:val="00E85860"/>
    <w:rsid w:val="00E935AD"/>
    <w:rsid w:val="00E95F16"/>
    <w:rsid w:val="00E96B27"/>
    <w:rsid w:val="00E97C9B"/>
    <w:rsid w:val="00EA00F9"/>
    <w:rsid w:val="00EA255E"/>
    <w:rsid w:val="00EC29BC"/>
    <w:rsid w:val="00EC4561"/>
    <w:rsid w:val="00EC5446"/>
    <w:rsid w:val="00EC6C5B"/>
    <w:rsid w:val="00EC7018"/>
    <w:rsid w:val="00ED3A00"/>
    <w:rsid w:val="00ED5077"/>
    <w:rsid w:val="00ED543D"/>
    <w:rsid w:val="00EE090D"/>
    <w:rsid w:val="00EF5A66"/>
    <w:rsid w:val="00F024A7"/>
    <w:rsid w:val="00F13A35"/>
    <w:rsid w:val="00F14430"/>
    <w:rsid w:val="00F14A8A"/>
    <w:rsid w:val="00F2314F"/>
    <w:rsid w:val="00F23D12"/>
    <w:rsid w:val="00F26B67"/>
    <w:rsid w:val="00F33721"/>
    <w:rsid w:val="00F37AF3"/>
    <w:rsid w:val="00F40D5D"/>
    <w:rsid w:val="00F43418"/>
    <w:rsid w:val="00F76CC3"/>
    <w:rsid w:val="00F87A59"/>
    <w:rsid w:val="00F94686"/>
    <w:rsid w:val="00F97141"/>
    <w:rsid w:val="00FA40F3"/>
    <w:rsid w:val="00FB2A18"/>
    <w:rsid w:val="00FB3AB3"/>
    <w:rsid w:val="00FB48F6"/>
    <w:rsid w:val="00FB5608"/>
    <w:rsid w:val="00FE0AC9"/>
    <w:rsid w:val="00FE2E4C"/>
    <w:rsid w:val="00FE3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9AFAB3"/>
  <w15:docId w15:val="{E5DDC3B1-A634-4E03-A616-5CEBF679B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9CA"/>
    <w:rPr>
      <w:rFonts w:ascii="Verdana" w:hAnsi="Verdana"/>
      <w:sz w:val="18"/>
    </w:rPr>
  </w:style>
  <w:style w:type="paragraph" w:styleId="Heading4">
    <w:name w:val="heading 4"/>
    <w:basedOn w:val="Normal"/>
    <w:link w:val="Heading4Char"/>
    <w:uiPriority w:val="9"/>
    <w:qFormat/>
    <w:rsid w:val="00B8720A"/>
    <w:pPr>
      <w:spacing w:after="150" w:line="240" w:lineRule="auto"/>
      <w:outlineLvl w:val="3"/>
    </w:pPr>
    <w:rPr>
      <w:rFonts w:ascii="Arial" w:eastAsia="Times New Roman" w:hAnsi="Arial" w:cs="Arial"/>
      <w:b/>
      <w:bCs/>
      <w:color w:val="202020"/>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29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9CA"/>
  </w:style>
  <w:style w:type="paragraph" w:styleId="Footer">
    <w:name w:val="footer"/>
    <w:basedOn w:val="Normal"/>
    <w:link w:val="FooterChar"/>
    <w:uiPriority w:val="99"/>
    <w:unhideWhenUsed/>
    <w:rsid w:val="009729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9CA"/>
  </w:style>
  <w:style w:type="paragraph" w:styleId="BalloonText">
    <w:name w:val="Balloon Text"/>
    <w:basedOn w:val="Normal"/>
    <w:link w:val="BalloonTextChar"/>
    <w:uiPriority w:val="99"/>
    <w:semiHidden/>
    <w:unhideWhenUsed/>
    <w:rsid w:val="009729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9CA"/>
    <w:rPr>
      <w:rFonts w:ascii="Tahoma" w:hAnsi="Tahoma" w:cs="Tahoma"/>
      <w:sz w:val="16"/>
      <w:szCs w:val="16"/>
    </w:rPr>
  </w:style>
  <w:style w:type="character" w:styleId="Hyperlink">
    <w:name w:val="Hyperlink"/>
    <w:basedOn w:val="DefaultParagraphFont"/>
    <w:uiPriority w:val="99"/>
    <w:unhideWhenUsed/>
    <w:rsid w:val="00F23D12"/>
    <w:rPr>
      <w:color w:val="0000FF" w:themeColor="hyperlink"/>
      <w:u w:val="single"/>
    </w:rPr>
  </w:style>
  <w:style w:type="character" w:customStyle="1" w:styleId="Heading4Char">
    <w:name w:val="Heading 4 Char"/>
    <w:basedOn w:val="DefaultParagraphFont"/>
    <w:link w:val="Heading4"/>
    <w:uiPriority w:val="9"/>
    <w:rsid w:val="00B8720A"/>
    <w:rPr>
      <w:rFonts w:ascii="Arial" w:eastAsia="Times New Roman" w:hAnsi="Arial" w:cs="Arial"/>
      <w:b/>
      <w:bCs/>
      <w:color w:val="202020"/>
      <w:sz w:val="33"/>
      <w:szCs w:val="33"/>
    </w:rPr>
  </w:style>
  <w:style w:type="paragraph" w:customStyle="1" w:styleId="Default">
    <w:name w:val="Default"/>
    <w:rsid w:val="00B8720A"/>
    <w:pPr>
      <w:autoSpaceDE w:val="0"/>
      <w:autoSpaceDN w:val="0"/>
      <w:adjustRightInd w:val="0"/>
      <w:spacing w:after="0" w:line="240" w:lineRule="auto"/>
    </w:pPr>
    <w:rPr>
      <w:rFonts w:ascii="Tahoma" w:eastAsia="Calibri" w:hAnsi="Tahoma" w:cs="Tahoma"/>
      <w:color w:val="000000"/>
      <w:sz w:val="24"/>
      <w:szCs w:val="24"/>
    </w:rPr>
  </w:style>
  <w:style w:type="character" w:styleId="CommentReference">
    <w:name w:val="annotation reference"/>
    <w:basedOn w:val="DefaultParagraphFont"/>
    <w:uiPriority w:val="99"/>
    <w:semiHidden/>
    <w:unhideWhenUsed/>
    <w:rsid w:val="006A2B1F"/>
    <w:rPr>
      <w:sz w:val="16"/>
      <w:szCs w:val="16"/>
    </w:rPr>
  </w:style>
  <w:style w:type="paragraph" w:styleId="CommentText">
    <w:name w:val="annotation text"/>
    <w:basedOn w:val="Normal"/>
    <w:link w:val="CommentTextChar"/>
    <w:uiPriority w:val="99"/>
    <w:semiHidden/>
    <w:unhideWhenUsed/>
    <w:rsid w:val="006A2B1F"/>
    <w:pPr>
      <w:spacing w:line="240" w:lineRule="auto"/>
    </w:pPr>
    <w:rPr>
      <w:sz w:val="20"/>
      <w:szCs w:val="20"/>
    </w:rPr>
  </w:style>
  <w:style w:type="character" w:customStyle="1" w:styleId="CommentTextChar">
    <w:name w:val="Comment Text Char"/>
    <w:basedOn w:val="DefaultParagraphFont"/>
    <w:link w:val="CommentText"/>
    <w:uiPriority w:val="99"/>
    <w:semiHidden/>
    <w:rsid w:val="006A2B1F"/>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6A2B1F"/>
    <w:rPr>
      <w:b/>
      <w:bCs/>
    </w:rPr>
  </w:style>
  <w:style w:type="character" w:customStyle="1" w:styleId="CommentSubjectChar">
    <w:name w:val="Comment Subject Char"/>
    <w:basedOn w:val="CommentTextChar"/>
    <w:link w:val="CommentSubject"/>
    <w:uiPriority w:val="99"/>
    <w:semiHidden/>
    <w:rsid w:val="006A2B1F"/>
    <w:rPr>
      <w:rFonts w:ascii="Verdana" w:hAnsi="Verdana"/>
      <w:b/>
      <w:bCs/>
      <w:sz w:val="20"/>
      <w:szCs w:val="20"/>
    </w:rPr>
  </w:style>
  <w:style w:type="paragraph" w:styleId="Revision">
    <w:name w:val="Revision"/>
    <w:hidden/>
    <w:uiPriority w:val="99"/>
    <w:semiHidden/>
    <w:rsid w:val="006A2B1F"/>
    <w:pPr>
      <w:spacing w:after="0" w:line="240" w:lineRule="auto"/>
    </w:pPr>
    <w:rPr>
      <w:rFonts w:ascii="Verdana" w:hAnsi="Verdana"/>
      <w:sz w:val="18"/>
    </w:rPr>
  </w:style>
  <w:style w:type="character" w:styleId="UnresolvedMention">
    <w:name w:val="Unresolved Mention"/>
    <w:basedOn w:val="DefaultParagraphFont"/>
    <w:uiPriority w:val="99"/>
    <w:semiHidden/>
    <w:unhideWhenUsed/>
    <w:rsid w:val="001E19E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297938">
      <w:bodyDiv w:val="1"/>
      <w:marLeft w:val="0"/>
      <w:marRight w:val="0"/>
      <w:marTop w:val="0"/>
      <w:marBottom w:val="0"/>
      <w:divBdr>
        <w:top w:val="none" w:sz="0" w:space="0" w:color="auto"/>
        <w:left w:val="none" w:sz="0" w:space="0" w:color="auto"/>
        <w:bottom w:val="none" w:sz="0" w:space="0" w:color="auto"/>
        <w:right w:val="none" w:sz="0" w:space="0" w:color="auto"/>
      </w:divBdr>
    </w:div>
    <w:div w:id="669674230">
      <w:bodyDiv w:val="1"/>
      <w:marLeft w:val="0"/>
      <w:marRight w:val="0"/>
      <w:marTop w:val="0"/>
      <w:marBottom w:val="0"/>
      <w:divBdr>
        <w:top w:val="none" w:sz="0" w:space="0" w:color="auto"/>
        <w:left w:val="none" w:sz="0" w:space="0" w:color="auto"/>
        <w:bottom w:val="none" w:sz="0" w:space="0" w:color="auto"/>
        <w:right w:val="none" w:sz="0" w:space="0" w:color="auto"/>
      </w:divBdr>
    </w:div>
    <w:div w:id="81777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d.docs.live.net/7459ce722c49037d/Documents/www.trustcu.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simpson@callaha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TCUgroup@trustcu.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Mhoopes</dc:creator>
  <cp:lastModifiedBy>Sharon Simpson</cp:lastModifiedBy>
  <cp:revision>3</cp:revision>
  <dcterms:created xsi:type="dcterms:W3CDTF">2021-01-28T18:28:00Z</dcterms:created>
  <dcterms:modified xsi:type="dcterms:W3CDTF">2021-01-28T18:31:00Z</dcterms:modified>
</cp:coreProperties>
</file>