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0572" w14:textId="3EB9FF06" w:rsidR="00AF3C58" w:rsidRDefault="00AF3C58" w:rsidP="00417B6C">
      <w:pPr>
        <w:pStyle w:val="Heading4"/>
        <w:rPr>
          <w:rFonts w:ascii="Verdana" w:hAnsi="Verdana"/>
          <w:color w:val="000000" w:themeColor="text1"/>
          <w:sz w:val="21"/>
        </w:rPr>
      </w:pPr>
      <w:r>
        <w:rPr>
          <w:rFonts w:ascii="Verdana" w:eastAsia="Calibri" w:hAnsi="Verdana" w:cs="Calibri"/>
          <w:iCs/>
          <w:color w:val="000000" w:themeColor="text1"/>
          <w:sz w:val="36"/>
          <w:szCs w:val="36"/>
        </w:rPr>
        <w:t>Trust for Credit Unions</w:t>
      </w:r>
      <w:r w:rsidR="00D97909">
        <w:rPr>
          <w:rFonts w:ascii="Verdana" w:eastAsia="Calibri" w:hAnsi="Verdana" w:cs="Calibri"/>
          <w:iCs/>
          <w:color w:val="000000" w:themeColor="text1"/>
          <w:sz w:val="36"/>
          <w:szCs w:val="36"/>
        </w:rPr>
        <w:t xml:space="preserve"> </w:t>
      </w:r>
      <w:r w:rsidR="005A2FC0">
        <w:rPr>
          <w:rFonts w:ascii="Verdana" w:eastAsia="Calibri" w:hAnsi="Verdana" w:cs="Calibri"/>
          <w:iCs/>
          <w:color w:val="000000" w:themeColor="text1"/>
          <w:sz w:val="36"/>
          <w:szCs w:val="36"/>
        </w:rPr>
        <w:t>Surpass</w:t>
      </w:r>
      <w:r w:rsidR="00864CBC">
        <w:rPr>
          <w:rFonts w:ascii="Verdana" w:eastAsia="Calibri" w:hAnsi="Verdana" w:cs="Calibri"/>
          <w:iCs/>
          <w:color w:val="000000" w:themeColor="text1"/>
          <w:sz w:val="36"/>
          <w:szCs w:val="36"/>
        </w:rPr>
        <w:t>es</w:t>
      </w:r>
      <w:r w:rsidR="00C35FDD">
        <w:rPr>
          <w:rFonts w:ascii="Verdana" w:eastAsia="Calibri" w:hAnsi="Verdana" w:cs="Calibri"/>
          <w:iCs/>
          <w:color w:val="000000" w:themeColor="text1"/>
          <w:sz w:val="36"/>
          <w:szCs w:val="36"/>
        </w:rPr>
        <w:t xml:space="preserve"> $</w:t>
      </w:r>
      <w:r w:rsidR="005A2FC0">
        <w:rPr>
          <w:rFonts w:ascii="Verdana" w:eastAsia="Calibri" w:hAnsi="Verdana" w:cs="Calibri"/>
          <w:iCs/>
          <w:color w:val="000000" w:themeColor="text1"/>
          <w:sz w:val="36"/>
          <w:szCs w:val="36"/>
        </w:rPr>
        <w:t>3</w:t>
      </w:r>
      <w:r w:rsidR="00E97921">
        <w:rPr>
          <w:rFonts w:ascii="Verdana" w:eastAsia="Calibri" w:hAnsi="Verdana" w:cs="Calibri"/>
          <w:iCs/>
          <w:color w:val="000000" w:themeColor="text1"/>
          <w:sz w:val="36"/>
          <w:szCs w:val="36"/>
        </w:rPr>
        <w:t>.6</w:t>
      </w:r>
      <w:r w:rsidR="00C35FDD">
        <w:rPr>
          <w:rFonts w:ascii="Verdana" w:eastAsia="Calibri" w:hAnsi="Verdana" w:cs="Calibri"/>
          <w:iCs/>
          <w:color w:val="000000" w:themeColor="text1"/>
          <w:sz w:val="36"/>
          <w:szCs w:val="36"/>
        </w:rPr>
        <w:t xml:space="preserve"> Billion</w:t>
      </w:r>
      <w:r w:rsidR="00E97921">
        <w:rPr>
          <w:rFonts w:ascii="Verdana" w:eastAsia="Calibri" w:hAnsi="Verdana" w:cs="Calibri"/>
          <w:iCs/>
          <w:color w:val="000000" w:themeColor="text1"/>
          <w:sz w:val="36"/>
          <w:szCs w:val="36"/>
        </w:rPr>
        <w:t>, Continue</w:t>
      </w:r>
      <w:r w:rsidR="00864CBC">
        <w:rPr>
          <w:rFonts w:ascii="Verdana" w:eastAsia="Calibri" w:hAnsi="Verdana" w:cs="Calibri"/>
          <w:iCs/>
          <w:color w:val="000000" w:themeColor="text1"/>
          <w:sz w:val="36"/>
          <w:szCs w:val="36"/>
        </w:rPr>
        <w:t>s</w:t>
      </w:r>
      <w:r w:rsidR="00E97921">
        <w:rPr>
          <w:rFonts w:ascii="Verdana" w:eastAsia="Calibri" w:hAnsi="Verdana" w:cs="Calibri"/>
          <w:iCs/>
          <w:color w:val="000000" w:themeColor="text1"/>
          <w:sz w:val="36"/>
          <w:szCs w:val="36"/>
        </w:rPr>
        <w:t xml:space="preserve"> Soaring with Record Growth</w:t>
      </w:r>
    </w:p>
    <w:p w14:paraId="6EEDEEA0" w14:textId="442D14D2" w:rsidR="00B8720A" w:rsidRPr="00B8720A" w:rsidRDefault="00B8720A" w:rsidP="00417B6C">
      <w:pPr>
        <w:pStyle w:val="Heading4"/>
        <w:rPr>
          <w:rFonts w:ascii="Verdana" w:hAnsi="Verdana"/>
          <w:color w:val="000000" w:themeColor="text1"/>
          <w:sz w:val="21"/>
          <w:szCs w:val="21"/>
        </w:rPr>
      </w:pPr>
      <w:r w:rsidRPr="00B8720A">
        <w:rPr>
          <w:rFonts w:ascii="Verdana" w:hAnsi="Verdana"/>
          <w:color w:val="000000" w:themeColor="text1"/>
          <w:sz w:val="21"/>
          <w:szCs w:val="21"/>
        </w:rPr>
        <w:br/>
      </w:r>
      <w:r w:rsidRPr="00B8720A">
        <w:rPr>
          <w:rFonts w:ascii="Verdana" w:hAnsi="Verdana"/>
          <w:color w:val="000000" w:themeColor="text1"/>
          <w:sz w:val="21"/>
        </w:rPr>
        <w:t>For Immediate Release:</w:t>
      </w:r>
      <w:r w:rsidRPr="00B8720A">
        <w:rPr>
          <w:rFonts w:ascii="Verdana" w:hAnsi="Verdana"/>
          <w:color w:val="000000" w:themeColor="text1"/>
          <w:sz w:val="21"/>
          <w:szCs w:val="21"/>
        </w:rPr>
        <w:t xml:space="preserve">  </w:t>
      </w:r>
      <w:r w:rsidR="00E97921">
        <w:rPr>
          <w:rFonts w:ascii="Verdana" w:hAnsi="Verdana"/>
          <w:color w:val="000000" w:themeColor="text1"/>
          <w:sz w:val="21"/>
          <w:szCs w:val="21"/>
        </w:rPr>
        <w:t>February</w:t>
      </w:r>
      <w:r w:rsidR="000C1C85">
        <w:rPr>
          <w:rFonts w:ascii="Verdana" w:hAnsi="Verdana"/>
          <w:color w:val="000000" w:themeColor="text1"/>
          <w:sz w:val="21"/>
          <w:szCs w:val="21"/>
        </w:rPr>
        <w:t xml:space="preserve"> </w:t>
      </w:r>
      <w:r w:rsidR="00E97921">
        <w:rPr>
          <w:rFonts w:ascii="Verdana" w:hAnsi="Verdana"/>
          <w:color w:val="000000" w:themeColor="text1"/>
          <w:sz w:val="21"/>
          <w:szCs w:val="21"/>
        </w:rPr>
        <w:t>1</w:t>
      </w:r>
      <w:r w:rsidR="001A1031">
        <w:rPr>
          <w:rFonts w:ascii="Verdana" w:hAnsi="Verdana"/>
          <w:color w:val="000000" w:themeColor="text1"/>
          <w:sz w:val="21"/>
          <w:szCs w:val="21"/>
        </w:rPr>
        <w:t>2</w:t>
      </w:r>
      <w:r w:rsidR="000C1C85">
        <w:rPr>
          <w:rFonts w:ascii="Verdana" w:hAnsi="Verdana"/>
          <w:color w:val="000000" w:themeColor="text1"/>
          <w:sz w:val="21"/>
          <w:szCs w:val="21"/>
        </w:rPr>
        <w:t>, 2021</w:t>
      </w:r>
      <w:r w:rsidRPr="00B8720A">
        <w:rPr>
          <w:rFonts w:ascii="Verdana" w:hAnsi="Verdana"/>
          <w:color w:val="000000" w:themeColor="text1"/>
          <w:sz w:val="21"/>
          <w:szCs w:val="21"/>
        </w:rPr>
        <w:br/>
      </w:r>
      <w:r w:rsidRPr="00B8720A">
        <w:rPr>
          <w:rFonts w:ascii="Verdana" w:hAnsi="Verdana"/>
          <w:color w:val="000000" w:themeColor="text1"/>
          <w:sz w:val="21"/>
        </w:rPr>
        <w:t xml:space="preserve">Contact: </w:t>
      </w:r>
      <w:r w:rsidR="0099046F">
        <w:rPr>
          <w:rFonts w:ascii="Verdana" w:hAnsi="Verdana"/>
          <w:color w:val="000000" w:themeColor="text1"/>
          <w:sz w:val="21"/>
          <w:szCs w:val="21"/>
        </w:rPr>
        <w:t>Sharon Simpson</w:t>
      </w:r>
      <w:r w:rsidRPr="00B8720A">
        <w:rPr>
          <w:rFonts w:ascii="Verdana" w:hAnsi="Verdana"/>
          <w:color w:val="000000" w:themeColor="text1"/>
          <w:sz w:val="21"/>
          <w:szCs w:val="21"/>
        </w:rPr>
        <w:t xml:space="preserve">, (202) 223-3920 or </w:t>
      </w:r>
      <w:hyperlink r:id="rId6" w:history="1">
        <w:r w:rsidR="0099046F" w:rsidRPr="00337034">
          <w:rPr>
            <w:rStyle w:val="Hyperlink"/>
            <w:rFonts w:ascii="Verdana" w:hAnsi="Verdana"/>
            <w:sz w:val="21"/>
            <w:szCs w:val="21"/>
          </w:rPr>
          <w:t>ssimpson@callahan.com</w:t>
        </w:r>
      </w:hyperlink>
      <w:r w:rsidRPr="00B8720A">
        <w:rPr>
          <w:rFonts w:ascii="Verdana" w:hAnsi="Verdana"/>
          <w:color w:val="000000" w:themeColor="text1"/>
          <w:sz w:val="21"/>
          <w:szCs w:val="21"/>
        </w:rPr>
        <w:br/>
      </w:r>
    </w:p>
    <w:p w14:paraId="3828EB8E" w14:textId="6CE9A77D" w:rsidR="001942F5" w:rsidRPr="001942F5" w:rsidRDefault="00B8720A" w:rsidP="001942F5">
      <w:pPr>
        <w:spacing w:after="0" w:line="360" w:lineRule="auto"/>
        <w:rPr>
          <w:rFonts w:eastAsia="Times New Roman" w:cs="Arial"/>
          <w:color w:val="000000" w:themeColor="text1"/>
          <w:sz w:val="21"/>
          <w:szCs w:val="21"/>
        </w:rPr>
      </w:pPr>
      <w:r w:rsidRPr="00B8720A">
        <w:rPr>
          <w:rFonts w:eastAsia="Times New Roman" w:cs="Arial"/>
          <w:b/>
          <w:color w:val="000000" w:themeColor="text1"/>
          <w:sz w:val="21"/>
          <w:szCs w:val="21"/>
        </w:rPr>
        <w:t>Washington, D.C.</w:t>
      </w:r>
      <w:r w:rsidR="005A0EB6">
        <w:rPr>
          <w:rFonts w:eastAsia="Times New Roman" w:cs="Arial"/>
          <w:color w:val="000000" w:themeColor="text1"/>
          <w:sz w:val="21"/>
          <w:szCs w:val="21"/>
        </w:rPr>
        <w:t xml:space="preserve"> – </w:t>
      </w:r>
      <w:r w:rsidR="00E97921">
        <w:rPr>
          <w:rFonts w:eastAsia="Times New Roman" w:cs="Arial"/>
          <w:color w:val="000000" w:themeColor="text1"/>
          <w:sz w:val="21"/>
          <w:szCs w:val="21"/>
        </w:rPr>
        <w:t>Assets under management in the</w:t>
      </w:r>
      <w:r w:rsidR="000141D8" w:rsidRPr="000141D8">
        <w:rPr>
          <w:rFonts w:eastAsia="Times New Roman" w:cs="Arial"/>
          <w:color w:val="000000" w:themeColor="text1"/>
          <w:sz w:val="21"/>
          <w:szCs w:val="21"/>
        </w:rPr>
        <w:t xml:space="preserve"> Trust for Credit Unions (TCU), the oldest and largest mutual fund family created for and by credit unions, </w:t>
      </w:r>
      <w:r w:rsidR="000141D8">
        <w:rPr>
          <w:rFonts w:eastAsia="Times New Roman" w:cs="Arial"/>
          <w:color w:val="000000" w:themeColor="text1"/>
          <w:sz w:val="21"/>
          <w:szCs w:val="21"/>
        </w:rPr>
        <w:t>continue to set new records</w:t>
      </w:r>
      <w:r w:rsidR="000141D8" w:rsidRPr="000141D8">
        <w:rPr>
          <w:rFonts w:eastAsia="Times New Roman" w:cs="Arial"/>
          <w:color w:val="000000" w:themeColor="text1"/>
          <w:sz w:val="21"/>
          <w:szCs w:val="21"/>
        </w:rPr>
        <w:t xml:space="preserve">. </w:t>
      </w:r>
      <w:r w:rsidR="000141D8">
        <w:rPr>
          <w:rFonts w:eastAsia="Times New Roman" w:cs="Arial"/>
          <w:color w:val="000000" w:themeColor="text1"/>
          <w:sz w:val="21"/>
          <w:szCs w:val="21"/>
        </w:rPr>
        <w:t>The</w:t>
      </w:r>
      <w:r w:rsidR="000141D8" w:rsidRPr="000141D8">
        <w:rPr>
          <w:rFonts w:eastAsia="Times New Roman" w:cs="Arial"/>
          <w:color w:val="000000" w:themeColor="text1"/>
          <w:sz w:val="21"/>
          <w:szCs w:val="21"/>
        </w:rPr>
        <w:t xml:space="preserve"> two TCU bond funds, the Ultra-Short Duration and Short Duration Portfolios </w:t>
      </w:r>
      <w:r w:rsidR="000141D8">
        <w:rPr>
          <w:rFonts w:eastAsia="Times New Roman" w:cs="Arial"/>
          <w:color w:val="000000" w:themeColor="text1"/>
          <w:sz w:val="21"/>
          <w:szCs w:val="21"/>
        </w:rPr>
        <w:t>ha</w:t>
      </w:r>
      <w:r w:rsidR="00E97921">
        <w:rPr>
          <w:rFonts w:eastAsia="Times New Roman" w:cs="Arial"/>
          <w:color w:val="000000" w:themeColor="text1"/>
          <w:sz w:val="21"/>
          <w:szCs w:val="21"/>
        </w:rPr>
        <w:t>d</w:t>
      </w:r>
      <w:r w:rsidR="000141D8">
        <w:rPr>
          <w:rFonts w:eastAsia="Times New Roman" w:cs="Arial"/>
          <w:color w:val="000000" w:themeColor="text1"/>
          <w:sz w:val="21"/>
          <w:szCs w:val="21"/>
        </w:rPr>
        <w:t xml:space="preserve"> total combined assets of $3.</w:t>
      </w:r>
      <w:r w:rsidR="00E97921">
        <w:rPr>
          <w:rFonts w:eastAsia="Times New Roman" w:cs="Arial"/>
          <w:color w:val="000000" w:themeColor="text1"/>
          <w:sz w:val="21"/>
          <w:szCs w:val="21"/>
        </w:rPr>
        <w:t>6</w:t>
      </w:r>
      <w:r w:rsidR="001A1031">
        <w:rPr>
          <w:rFonts w:eastAsia="Times New Roman" w:cs="Arial"/>
          <w:color w:val="000000" w:themeColor="text1"/>
          <w:sz w:val="21"/>
          <w:szCs w:val="21"/>
        </w:rPr>
        <w:t>1</w:t>
      </w:r>
      <w:r w:rsidR="000141D8">
        <w:rPr>
          <w:rFonts w:eastAsia="Times New Roman" w:cs="Arial"/>
          <w:color w:val="000000" w:themeColor="text1"/>
          <w:sz w:val="21"/>
          <w:szCs w:val="21"/>
        </w:rPr>
        <w:t xml:space="preserve"> billion as of </w:t>
      </w:r>
      <w:r w:rsidR="00E97921">
        <w:rPr>
          <w:rFonts w:eastAsia="Times New Roman" w:cs="Arial"/>
          <w:color w:val="000000" w:themeColor="text1"/>
          <w:sz w:val="21"/>
          <w:szCs w:val="21"/>
        </w:rPr>
        <w:t>February 1</w:t>
      </w:r>
      <w:r w:rsidR="001A1031">
        <w:rPr>
          <w:rFonts w:eastAsia="Times New Roman" w:cs="Arial"/>
          <w:color w:val="000000" w:themeColor="text1"/>
          <w:sz w:val="21"/>
          <w:szCs w:val="21"/>
        </w:rPr>
        <w:t>1</w:t>
      </w:r>
      <w:r w:rsidR="00E97921">
        <w:rPr>
          <w:rFonts w:eastAsia="Times New Roman" w:cs="Arial"/>
          <w:color w:val="000000" w:themeColor="text1"/>
          <w:sz w:val="21"/>
          <w:szCs w:val="21"/>
        </w:rPr>
        <w:t>, 2021</w:t>
      </w:r>
      <w:r w:rsidR="000141D8" w:rsidRPr="000141D8">
        <w:rPr>
          <w:rFonts w:eastAsia="Times New Roman" w:cs="Arial"/>
          <w:color w:val="000000" w:themeColor="text1"/>
          <w:sz w:val="21"/>
          <w:szCs w:val="21"/>
        </w:rPr>
        <w:t>.</w:t>
      </w:r>
      <w:r w:rsidR="001942F5" w:rsidRPr="001942F5">
        <w:rPr>
          <w:rFonts w:eastAsia="Times New Roman" w:cs="Arial"/>
          <w:color w:val="000000" w:themeColor="text1"/>
          <w:sz w:val="21"/>
          <w:szCs w:val="21"/>
        </w:rPr>
        <w:t xml:space="preserve"> </w:t>
      </w:r>
    </w:p>
    <w:p w14:paraId="492F26C6" w14:textId="77777777" w:rsidR="000141D8" w:rsidRPr="000141D8" w:rsidRDefault="000141D8" w:rsidP="000141D8">
      <w:pPr>
        <w:spacing w:after="0" w:line="360" w:lineRule="auto"/>
        <w:rPr>
          <w:rFonts w:eastAsia="Times New Roman" w:cs="Arial"/>
          <w:color w:val="000000" w:themeColor="text1"/>
          <w:sz w:val="21"/>
          <w:szCs w:val="21"/>
        </w:rPr>
      </w:pPr>
    </w:p>
    <w:p w14:paraId="67A72729" w14:textId="2CC8B2FC" w:rsidR="000141D8" w:rsidRPr="000141D8" w:rsidRDefault="001942F5" w:rsidP="000141D8">
      <w:pPr>
        <w:spacing w:after="0" w:line="360" w:lineRule="auto"/>
        <w:rPr>
          <w:rFonts w:eastAsia="Times New Roman" w:cs="Arial"/>
          <w:color w:val="000000" w:themeColor="text1"/>
          <w:sz w:val="21"/>
          <w:szCs w:val="21"/>
        </w:rPr>
      </w:pPr>
      <w:r w:rsidRPr="001942F5">
        <w:rPr>
          <w:rFonts w:eastAsia="Times New Roman" w:cs="Arial"/>
          <w:color w:val="000000" w:themeColor="text1"/>
          <w:sz w:val="21"/>
          <w:szCs w:val="21"/>
        </w:rPr>
        <w:t>“</w:t>
      </w:r>
      <w:r w:rsidR="00E97921">
        <w:rPr>
          <w:rFonts w:eastAsia="Times New Roman" w:cs="Arial"/>
          <w:color w:val="000000" w:themeColor="text1"/>
          <w:sz w:val="21"/>
          <w:szCs w:val="21"/>
        </w:rPr>
        <w:t xml:space="preserve">We’ve already welcomed a record number of new credit union investors in </w:t>
      </w:r>
      <w:r w:rsidR="00864CBC">
        <w:rPr>
          <w:rFonts w:eastAsia="Times New Roman" w:cs="Arial"/>
          <w:color w:val="000000" w:themeColor="text1"/>
          <w:sz w:val="21"/>
          <w:szCs w:val="21"/>
        </w:rPr>
        <w:t xml:space="preserve">the opening weeks of </w:t>
      </w:r>
      <w:r w:rsidR="00E97921">
        <w:rPr>
          <w:rFonts w:eastAsia="Times New Roman" w:cs="Arial"/>
          <w:color w:val="000000" w:themeColor="text1"/>
          <w:sz w:val="21"/>
          <w:szCs w:val="21"/>
        </w:rPr>
        <w:t xml:space="preserve">2021 and </w:t>
      </w:r>
      <w:r w:rsidRPr="001942F5">
        <w:rPr>
          <w:rFonts w:eastAsia="Times New Roman" w:cs="Arial"/>
          <w:color w:val="000000" w:themeColor="text1"/>
          <w:sz w:val="21"/>
          <w:szCs w:val="21"/>
        </w:rPr>
        <w:t xml:space="preserve">look forward to </w:t>
      </w:r>
      <w:r w:rsidR="00E97921">
        <w:rPr>
          <w:rFonts w:eastAsia="Times New Roman" w:cs="Arial"/>
          <w:color w:val="000000" w:themeColor="text1"/>
          <w:sz w:val="21"/>
          <w:szCs w:val="21"/>
        </w:rPr>
        <w:t>serving more of the industry as we build on our 30-year history of performance</w:t>
      </w:r>
      <w:r w:rsidRPr="001942F5">
        <w:rPr>
          <w:rFonts w:eastAsia="Times New Roman" w:cs="Arial"/>
          <w:color w:val="000000" w:themeColor="text1"/>
          <w:sz w:val="21"/>
          <w:szCs w:val="21"/>
        </w:rPr>
        <w:t>,” said Jay Johnson, President of TCU. “TCU is here to provide credit unions with the institutional investments they need, whenever they need them.”</w:t>
      </w:r>
      <w:r w:rsidRPr="001942F5">
        <w:rPr>
          <w:rFonts w:eastAsia="Times New Roman" w:cs="Arial"/>
          <w:color w:val="000000" w:themeColor="text1"/>
          <w:sz w:val="21"/>
          <w:szCs w:val="21"/>
        </w:rPr>
        <w:cr/>
      </w:r>
    </w:p>
    <w:p w14:paraId="0D8B0FAE" w14:textId="75236E84" w:rsidR="00123137" w:rsidRDefault="005A2FC0" w:rsidP="00860777">
      <w:pPr>
        <w:spacing w:after="0" w:line="360" w:lineRule="auto"/>
        <w:rPr>
          <w:rFonts w:eastAsia="Times New Roman" w:cs="Arial"/>
          <w:color w:val="000000" w:themeColor="text1"/>
          <w:sz w:val="21"/>
          <w:szCs w:val="21"/>
        </w:rPr>
      </w:pPr>
      <w:r>
        <w:rPr>
          <w:rFonts w:eastAsia="Times New Roman" w:cs="Arial"/>
          <w:color w:val="000000" w:themeColor="text1"/>
          <w:sz w:val="21"/>
          <w:szCs w:val="21"/>
        </w:rPr>
        <w:t>TCU was founded</w:t>
      </w:r>
      <w:r w:rsidR="001942F5">
        <w:rPr>
          <w:rFonts w:eastAsia="Times New Roman" w:cs="Arial"/>
          <w:color w:val="000000" w:themeColor="text1"/>
          <w:sz w:val="21"/>
          <w:szCs w:val="21"/>
        </w:rPr>
        <w:t xml:space="preserve"> </w:t>
      </w:r>
      <w:r>
        <w:rPr>
          <w:rFonts w:eastAsia="Times New Roman" w:cs="Arial"/>
          <w:color w:val="000000" w:themeColor="text1"/>
          <w:sz w:val="21"/>
          <w:szCs w:val="21"/>
        </w:rPr>
        <w:t>to provide actively managed, competitive investment alternatives for credit unions</w:t>
      </w:r>
      <w:r w:rsidRPr="005A2FC0">
        <w:rPr>
          <w:rFonts w:eastAsia="Times New Roman" w:cs="Arial"/>
          <w:color w:val="000000" w:themeColor="text1"/>
          <w:sz w:val="21"/>
          <w:szCs w:val="21"/>
        </w:rPr>
        <w:t>.</w:t>
      </w:r>
      <w:r>
        <w:rPr>
          <w:rFonts w:eastAsia="Times New Roman" w:cs="Arial"/>
          <w:color w:val="000000" w:themeColor="text1"/>
          <w:sz w:val="21"/>
          <w:szCs w:val="21"/>
        </w:rPr>
        <w:t xml:space="preserve"> As deposit levels have hit their own records industry-wide and earnings pressure has increased, more credit unions are turning to this leading industry investment solution. </w:t>
      </w:r>
      <w:r w:rsidR="00123137" w:rsidRPr="00EE090D">
        <w:rPr>
          <w:rFonts w:eastAsia="Times New Roman" w:cs="Arial"/>
          <w:color w:val="000000" w:themeColor="text1"/>
          <w:sz w:val="21"/>
          <w:szCs w:val="21"/>
        </w:rPr>
        <w:t xml:space="preserve">The </w:t>
      </w:r>
      <w:r w:rsidR="00BE59B5" w:rsidRPr="00EE090D">
        <w:rPr>
          <w:rFonts w:eastAsia="Times New Roman" w:cs="Arial"/>
          <w:color w:val="000000" w:themeColor="text1"/>
          <w:sz w:val="21"/>
          <w:szCs w:val="21"/>
        </w:rPr>
        <w:t>TCU Short-Duration Portfolio, which targets a two-year duration,</w:t>
      </w:r>
      <w:r w:rsidR="001D3197" w:rsidRPr="00EE090D">
        <w:rPr>
          <w:rFonts w:eastAsia="Times New Roman" w:cs="Arial"/>
          <w:color w:val="000000" w:themeColor="text1"/>
          <w:sz w:val="21"/>
          <w:szCs w:val="21"/>
        </w:rPr>
        <w:t xml:space="preserve"> </w:t>
      </w:r>
      <w:r w:rsidR="00EA255E" w:rsidRPr="00EE090D">
        <w:rPr>
          <w:rFonts w:eastAsia="Times New Roman" w:cs="Arial"/>
          <w:color w:val="000000" w:themeColor="text1"/>
          <w:sz w:val="21"/>
          <w:szCs w:val="21"/>
        </w:rPr>
        <w:t xml:space="preserve">had a 30-day yield of </w:t>
      </w:r>
      <w:r w:rsidR="00C35FDD" w:rsidRPr="001A1031">
        <w:rPr>
          <w:rFonts w:eastAsia="Times New Roman" w:cs="Arial"/>
          <w:b/>
          <w:bCs/>
          <w:color w:val="000000" w:themeColor="text1"/>
          <w:sz w:val="21"/>
          <w:szCs w:val="21"/>
        </w:rPr>
        <w:t>0.</w:t>
      </w:r>
      <w:r w:rsidR="001A1031" w:rsidRPr="001A1031">
        <w:rPr>
          <w:rFonts w:eastAsia="Times New Roman" w:cs="Arial"/>
          <w:b/>
          <w:bCs/>
          <w:color w:val="000000" w:themeColor="text1"/>
          <w:sz w:val="21"/>
          <w:szCs w:val="21"/>
        </w:rPr>
        <w:t>76</w:t>
      </w:r>
      <w:r w:rsidR="00EA255E" w:rsidRPr="001A1031">
        <w:rPr>
          <w:rFonts w:eastAsia="Times New Roman" w:cs="Arial"/>
          <w:b/>
          <w:bCs/>
          <w:color w:val="000000" w:themeColor="text1"/>
          <w:sz w:val="21"/>
          <w:szCs w:val="21"/>
        </w:rPr>
        <w:t>%</w:t>
      </w:r>
      <w:r w:rsidR="00EA255E" w:rsidRPr="001A1031">
        <w:rPr>
          <w:rFonts w:eastAsia="Times New Roman" w:cs="Arial"/>
          <w:color w:val="000000" w:themeColor="text1"/>
          <w:sz w:val="21"/>
          <w:szCs w:val="21"/>
        </w:rPr>
        <w:t xml:space="preserve">* </w:t>
      </w:r>
      <w:r w:rsidR="00C35FDD" w:rsidRPr="001A1031">
        <w:rPr>
          <w:rFonts w:eastAsia="Times New Roman" w:cs="Arial"/>
          <w:color w:val="000000" w:themeColor="text1"/>
          <w:sz w:val="21"/>
          <w:szCs w:val="21"/>
        </w:rPr>
        <w:t xml:space="preserve">as of </w:t>
      </w:r>
      <w:r w:rsidR="00E97921" w:rsidRPr="001A1031">
        <w:rPr>
          <w:rFonts w:eastAsia="Times New Roman" w:cs="Arial"/>
          <w:color w:val="000000" w:themeColor="text1"/>
          <w:sz w:val="21"/>
          <w:szCs w:val="21"/>
        </w:rPr>
        <w:t>February</w:t>
      </w:r>
      <w:r w:rsidRPr="001A1031">
        <w:rPr>
          <w:rFonts w:eastAsia="Times New Roman" w:cs="Arial"/>
          <w:color w:val="000000" w:themeColor="text1"/>
          <w:sz w:val="21"/>
          <w:szCs w:val="21"/>
        </w:rPr>
        <w:t xml:space="preserve"> </w:t>
      </w:r>
      <w:r w:rsidR="001A1031" w:rsidRPr="001A1031">
        <w:rPr>
          <w:rFonts w:eastAsia="Times New Roman" w:cs="Arial"/>
          <w:color w:val="000000" w:themeColor="text1"/>
          <w:sz w:val="21"/>
          <w:szCs w:val="21"/>
        </w:rPr>
        <w:t>11</w:t>
      </w:r>
      <w:r w:rsidR="00C35FDD" w:rsidRPr="001A1031">
        <w:rPr>
          <w:rFonts w:eastAsia="Times New Roman" w:cs="Arial"/>
          <w:color w:val="000000" w:themeColor="text1"/>
          <w:sz w:val="21"/>
          <w:szCs w:val="21"/>
        </w:rPr>
        <w:t>, 202</w:t>
      </w:r>
      <w:r w:rsidR="001942F5" w:rsidRPr="001A1031">
        <w:rPr>
          <w:rFonts w:eastAsia="Times New Roman" w:cs="Arial"/>
          <w:color w:val="000000" w:themeColor="text1"/>
          <w:sz w:val="21"/>
          <w:szCs w:val="21"/>
        </w:rPr>
        <w:t>1</w:t>
      </w:r>
      <w:r w:rsidR="00C35FDD" w:rsidRPr="001A1031">
        <w:rPr>
          <w:rFonts w:eastAsia="Times New Roman" w:cs="Arial"/>
          <w:color w:val="000000" w:themeColor="text1"/>
          <w:sz w:val="21"/>
          <w:szCs w:val="21"/>
        </w:rPr>
        <w:t xml:space="preserve"> while the</w:t>
      </w:r>
      <w:r w:rsidR="00C35FDD" w:rsidRPr="001A1031">
        <w:t xml:space="preserve"> </w:t>
      </w:r>
      <w:r w:rsidR="00C35FDD" w:rsidRPr="001A1031">
        <w:rPr>
          <w:rFonts w:eastAsia="Times New Roman" w:cs="Arial"/>
          <w:color w:val="000000" w:themeColor="text1"/>
          <w:sz w:val="21"/>
          <w:szCs w:val="21"/>
        </w:rPr>
        <w:t xml:space="preserve">TCU Ultra-Short Duration Portfolio, which targets a </w:t>
      </w:r>
      <w:proofErr w:type="gramStart"/>
      <w:r w:rsidR="00C35FDD" w:rsidRPr="001A1031">
        <w:rPr>
          <w:rFonts w:eastAsia="Times New Roman" w:cs="Arial"/>
          <w:color w:val="000000" w:themeColor="text1"/>
          <w:sz w:val="21"/>
          <w:szCs w:val="21"/>
        </w:rPr>
        <w:t>three month</w:t>
      </w:r>
      <w:proofErr w:type="gramEnd"/>
      <w:r w:rsidR="00C35FDD" w:rsidRPr="001A1031">
        <w:rPr>
          <w:rFonts w:eastAsia="Times New Roman" w:cs="Arial"/>
          <w:color w:val="000000" w:themeColor="text1"/>
          <w:sz w:val="21"/>
          <w:szCs w:val="21"/>
        </w:rPr>
        <w:t xml:space="preserve"> duration, had a 30-day yield of </w:t>
      </w:r>
      <w:r w:rsidR="00C35FDD" w:rsidRPr="001A1031">
        <w:rPr>
          <w:rFonts w:eastAsia="Times New Roman" w:cs="Arial"/>
          <w:b/>
          <w:bCs/>
          <w:color w:val="000000" w:themeColor="text1"/>
          <w:sz w:val="21"/>
          <w:szCs w:val="21"/>
        </w:rPr>
        <w:t>0.</w:t>
      </w:r>
      <w:r w:rsidR="001A1031" w:rsidRPr="001A1031">
        <w:rPr>
          <w:rFonts w:eastAsia="Times New Roman" w:cs="Arial"/>
          <w:b/>
          <w:bCs/>
          <w:color w:val="000000" w:themeColor="text1"/>
          <w:sz w:val="21"/>
          <w:szCs w:val="21"/>
        </w:rPr>
        <w:t>32</w:t>
      </w:r>
      <w:r w:rsidR="00C35FDD" w:rsidRPr="001A1031">
        <w:rPr>
          <w:rFonts w:eastAsia="Times New Roman" w:cs="Arial"/>
          <w:b/>
          <w:bCs/>
          <w:color w:val="000000" w:themeColor="text1"/>
          <w:sz w:val="21"/>
          <w:szCs w:val="21"/>
        </w:rPr>
        <w:t>%</w:t>
      </w:r>
      <w:r w:rsidR="00C35FDD" w:rsidRPr="001A1031">
        <w:rPr>
          <w:rFonts w:eastAsia="Times New Roman" w:cs="Arial"/>
          <w:color w:val="000000" w:themeColor="text1"/>
          <w:sz w:val="21"/>
          <w:szCs w:val="21"/>
        </w:rPr>
        <w:t>* over the same period.</w:t>
      </w:r>
    </w:p>
    <w:p w14:paraId="3A721D9D" w14:textId="77777777" w:rsidR="00123137" w:rsidRDefault="00123137" w:rsidP="00860777">
      <w:pPr>
        <w:spacing w:after="0" w:line="360" w:lineRule="auto"/>
        <w:rPr>
          <w:rFonts w:eastAsia="Times New Roman" w:cs="Arial"/>
          <w:color w:val="000000" w:themeColor="text1"/>
          <w:sz w:val="21"/>
          <w:szCs w:val="21"/>
        </w:rPr>
      </w:pPr>
    </w:p>
    <w:p w14:paraId="6156679C" w14:textId="6DF3BFC3" w:rsidR="00860777" w:rsidRDefault="00860777" w:rsidP="00860777">
      <w:pPr>
        <w:spacing w:after="0" w:line="360" w:lineRule="auto"/>
        <w:rPr>
          <w:rFonts w:eastAsia="Times New Roman" w:cs="Arial"/>
          <w:color w:val="000000" w:themeColor="text1"/>
          <w:sz w:val="21"/>
          <w:szCs w:val="21"/>
        </w:rPr>
      </w:pPr>
      <w:r w:rsidRPr="00860777">
        <w:rPr>
          <w:rFonts w:eastAsia="Times New Roman" w:cs="Arial"/>
          <w:color w:val="000000" w:themeColor="text1"/>
          <w:sz w:val="21"/>
          <w:szCs w:val="21"/>
        </w:rPr>
        <w:t>ALM First Financial</w:t>
      </w:r>
      <w:r w:rsidR="00EF5A66">
        <w:rPr>
          <w:rFonts w:eastAsia="Times New Roman" w:cs="Arial"/>
          <w:color w:val="000000" w:themeColor="text1"/>
          <w:sz w:val="21"/>
          <w:szCs w:val="21"/>
        </w:rPr>
        <w:t xml:space="preserve"> </w:t>
      </w:r>
      <w:r w:rsidRPr="00860777">
        <w:rPr>
          <w:rFonts w:eastAsia="Times New Roman" w:cs="Arial"/>
          <w:color w:val="000000" w:themeColor="text1"/>
          <w:sz w:val="21"/>
          <w:szCs w:val="21"/>
        </w:rPr>
        <w:t xml:space="preserve">Advisors </w:t>
      </w:r>
      <w:r w:rsidR="005A5324">
        <w:rPr>
          <w:rFonts w:eastAsia="Times New Roman" w:cs="Arial"/>
          <w:color w:val="000000" w:themeColor="text1"/>
          <w:sz w:val="21"/>
          <w:szCs w:val="21"/>
        </w:rPr>
        <w:t>serves as the</w:t>
      </w:r>
      <w:r w:rsidRPr="00860777">
        <w:rPr>
          <w:rFonts w:eastAsia="Times New Roman" w:cs="Arial"/>
          <w:color w:val="000000" w:themeColor="text1"/>
          <w:sz w:val="21"/>
          <w:szCs w:val="21"/>
        </w:rPr>
        <w:t xml:space="preserve"> funds’ investment advisor</w:t>
      </w:r>
      <w:r w:rsidR="005A5324">
        <w:rPr>
          <w:rFonts w:eastAsia="Times New Roman" w:cs="Arial"/>
          <w:color w:val="000000" w:themeColor="text1"/>
          <w:sz w:val="21"/>
          <w:szCs w:val="21"/>
        </w:rPr>
        <w:t xml:space="preserve">, </w:t>
      </w:r>
      <w:r w:rsidR="00B35690">
        <w:rPr>
          <w:rFonts w:eastAsia="Times New Roman" w:cs="Arial"/>
          <w:color w:val="000000" w:themeColor="text1"/>
          <w:sz w:val="21"/>
          <w:szCs w:val="21"/>
        </w:rPr>
        <w:t>provid</w:t>
      </w:r>
      <w:r w:rsidR="005A5324">
        <w:rPr>
          <w:rFonts w:eastAsia="Times New Roman" w:cs="Arial"/>
          <w:color w:val="000000" w:themeColor="text1"/>
          <w:sz w:val="21"/>
          <w:szCs w:val="21"/>
        </w:rPr>
        <w:t>ing</w:t>
      </w:r>
      <w:r w:rsidR="00B35690">
        <w:rPr>
          <w:rFonts w:eastAsia="Times New Roman" w:cs="Arial"/>
          <w:color w:val="000000" w:themeColor="text1"/>
          <w:sz w:val="21"/>
          <w:szCs w:val="21"/>
        </w:rPr>
        <w:t xml:space="preserve"> ongoing </w:t>
      </w:r>
      <w:r w:rsidR="00F14A8A">
        <w:rPr>
          <w:rFonts w:eastAsia="Times New Roman" w:cs="Arial"/>
          <w:color w:val="000000" w:themeColor="text1"/>
          <w:sz w:val="21"/>
          <w:szCs w:val="21"/>
        </w:rPr>
        <w:t xml:space="preserve">economic updates and </w:t>
      </w:r>
      <w:r w:rsidR="00282B11">
        <w:rPr>
          <w:rFonts w:eastAsia="Times New Roman" w:cs="Arial"/>
          <w:color w:val="000000" w:themeColor="text1"/>
          <w:sz w:val="21"/>
          <w:szCs w:val="21"/>
        </w:rPr>
        <w:t xml:space="preserve">timely </w:t>
      </w:r>
      <w:r w:rsidR="00B35690">
        <w:rPr>
          <w:rFonts w:eastAsia="Times New Roman" w:cs="Arial"/>
          <w:color w:val="000000" w:themeColor="text1"/>
          <w:sz w:val="21"/>
          <w:szCs w:val="21"/>
        </w:rPr>
        <w:t>educational resources</w:t>
      </w:r>
      <w:r w:rsidRPr="00860777">
        <w:rPr>
          <w:rFonts w:eastAsia="Times New Roman" w:cs="Arial"/>
          <w:color w:val="000000" w:themeColor="text1"/>
          <w:sz w:val="21"/>
          <w:szCs w:val="21"/>
        </w:rPr>
        <w:t xml:space="preserve"> to </w:t>
      </w:r>
      <w:r w:rsidR="005A5324">
        <w:rPr>
          <w:rFonts w:eastAsia="Times New Roman" w:cs="Arial"/>
          <w:color w:val="000000" w:themeColor="text1"/>
          <w:sz w:val="21"/>
          <w:szCs w:val="21"/>
        </w:rPr>
        <w:t>benefit</w:t>
      </w:r>
      <w:r w:rsidR="00EF5A66">
        <w:rPr>
          <w:rFonts w:eastAsia="Times New Roman" w:cs="Arial"/>
          <w:color w:val="000000" w:themeColor="text1"/>
          <w:sz w:val="21"/>
          <w:szCs w:val="21"/>
        </w:rPr>
        <w:t xml:space="preserve"> </w:t>
      </w:r>
      <w:r w:rsidR="00F14A8A">
        <w:rPr>
          <w:rFonts w:eastAsia="Times New Roman" w:cs="Arial"/>
          <w:color w:val="000000" w:themeColor="text1"/>
          <w:sz w:val="21"/>
          <w:szCs w:val="21"/>
        </w:rPr>
        <w:t>both current and potential i</w:t>
      </w:r>
      <w:r w:rsidRPr="00860777">
        <w:rPr>
          <w:rFonts w:eastAsia="Times New Roman" w:cs="Arial"/>
          <w:color w:val="000000" w:themeColor="text1"/>
          <w:sz w:val="21"/>
          <w:szCs w:val="21"/>
        </w:rPr>
        <w:t>nvestors.</w:t>
      </w:r>
    </w:p>
    <w:p w14:paraId="5BFAA42D" w14:textId="77777777" w:rsidR="00EF5A66" w:rsidRPr="00860777" w:rsidRDefault="00EF5A66" w:rsidP="00860777">
      <w:pPr>
        <w:spacing w:after="0" w:line="360" w:lineRule="auto"/>
        <w:rPr>
          <w:rFonts w:eastAsia="Times New Roman" w:cs="Arial"/>
          <w:color w:val="000000" w:themeColor="text1"/>
          <w:sz w:val="21"/>
          <w:szCs w:val="21"/>
        </w:rPr>
      </w:pPr>
    </w:p>
    <w:p w14:paraId="10179EDD" w14:textId="010C6490" w:rsidR="00CE4663" w:rsidRDefault="00583917" w:rsidP="00860777">
      <w:pPr>
        <w:spacing w:after="0" w:line="360" w:lineRule="auto"/>
        <w:rPr>
          <w:rFonts w:eastAsia="Times New Roman" w:cs="Arial"/>
          <w:color w:val="000000" w:themeColor="text1"/>
          <w:sz w:val="21"/>
          <w:szCs w:val="21"/>
        </w:rPr>
      </w:pPr>
      <w:r w:rsidRPr="00583917">
        <w:rPr>
          <w:rFonts w:eastAsia="Times New Roman" w:cs="Arial"/>
          <w:color w:val="000000" w:themeColor="text1"/>
          <w:sz w:val="21"/>
          <w:szCs w:val="21"/>
        </w:rPr>
        <w:lastRenderedPageBreak/>
        <w:t xml:space="preserve">“In our role as investment advisor, we share our knowledge and market insights regularly for the benefit of TCU investors and the entire industry,” says Jason Haley, Chief Investment Officer for ALM First. “For more than a quarter century we’ve managed short-duration fixed income portfolios for institutional investors, and the TCU Ultra-Short Duration and Short Duration Portfolios have been important tools to help </w:t>
      </w:r>
      <w:r>
        <w:rPr>
          <w:rFonts w:eastAsia="Times New Roman" w:cs="Arial"/>
          <w:color w:val="000000" w:themeColor="text1"/>
          <w:sz w:val="21"/>
          <w:szCs w:val="21"/>
        </w:rPr>
        <w:t>credit unions</w:t>
      </w:r>
      <w:r w:rsidRPr="00583917">
        <w:rPr>
          <w:rFonts w:eastAsia="Times New Roman" w:cs="Arial"/>
          <w:color w:val="000000" w:themeColor="text1"/>
          <w:sz w:val="21"/>
          <w:szCs w:val="21"/>
        </w:rPr>
        <w:t xml:space="preserve"> serve their members.”  </w:t>
      </w:r>
    </w:p>
    <w:p w14:paraId="435EE826" w14:textId="77777777" w:rsidR="00583917" w:rsidRDefault="00583917" w:rsidP="00860777">
      <w:pPr>
        <w:spacing w:after="0" w:line="360" w:lineRule="auto"/>
        <w:rPr>
          <w:rFonts w:eastAsia="Times New Roman" w:cs="Arial"/>
          <w:color w:val="000000" w:themeColor="text1"/>
          <w:sz w:val="21"/>
          <w:szCs w:val="21"/>
        </w:rPr>
      </w:pPr>
    </w:p>
    <w:p w14:paraId="6BB9D18C" w14:textId="41E6B980" w:rsidR="00BC7CCD" w:rsidRDefault="002A2B1C" w:rsidP="00860777">
      <w:pPr>
        <w:spacing w:after="0" w:line="360" w:lineRule="auto"/>
        <w:rPr>
          <w:rFonts w:cs="Arial"/>
          <w:color w:val="000000" w:themeColor="text1"/>
          <w:sz w:val="21"/>
          <w:szCs w:val="21"/>
        </w:rPr>
      </w:pPr>
      <w:r w:rsidRPr="002A2B1C">
        <w:rPr>
          <w:rFonts w:eastAsia="Times New Roman" w:cs="Arial"/>
          <w:color w:val="000000" w:themeColor="text1"/>
          <w:sz w:val="21"/>
          <w:szCs w:val="21"/>
        </w:rPr>
        <w:t xml:space="preserve">TCU helps credit unions succeed by providing a professionally managed family of mutual funds --- exclusive to credit unions --- as well as the information and analysis they need to support investment decisions. Created by leading credit </w:t>
      </w:r>
      <w:r w:rsidR="00354F5E" w:rsidRPr="00354F5E">
        <w:rPr>
          <w:rFonts w:cs="Arial"/>
          <w:color w:val="000000" w:themeColor="text1"/>
          <w:sz w:val="21"/>
          <w:szCs w:val="21"/>
        </w:rPr>
        <w:t>unions with oversight by a board of trustees, TCU’s mutual fund options are professionally managed</w:t>
      </w:r>
      <w:r w:rsidR="00AB1702">
        <w:rPr>
          <w:rFonts w:cs="Arial"/>
          <w:color w:val="000000" w:themeColor="text1"/>
          <w:sz w:val="21"/>
          <w:szCs w:val="21"/>
        </w:rPr>
        <w:t xml:space="preserve"> </w:t>
      </w:r>
      <w:r w:rsidR="00354F5E" w:rsidRPr="00354F5E">
        <w:rPr>
          <w:rFonts w:cs="Arial"/>
          <w:color w:val="000000" w:themeColor="text1"/>
          <w:sz w:val="21"/>
          <w:szCs w:val="21"/>
        </w:rPr>
        <w:t xml:space="preserve">and are based on the cooperative values of credit unions. </w:t>
      </w:r>
    </w:p>
    <w:p w14:paraId="39AD9B3D" w14:textId="77777777" w:rsidR="003F7593" w:rsidRPr="003818DE" w:rsidRDefault="003F7593" w:rsidP="00860777">
      <w:pPr>
        <w:spacing w:after="0" w:line="360" w:lineRule="auto"/>
        <w:rPr>
          <w:rFonts w:eastAsia="Times New Roman" w:cs="Arial"/>
          <w:color w:val="000000" w:themeColor="text1"/>
          <w:sz w:val="21"/>
          <w:szCs w:val="21"/>
        </w:rPr>
      </w:pPr>
    </w:p>
    <w:p w14:paraId="025C4B47" w14:textId="670DA0F3" w:rsidR="00354F5E" w:rsidRDefault="00354F5E" w:rsidP="00354F5E">
      <w:pPr>
        <w:spacing w:line="360" w:lineRule="auto"/>
        <w:rPr>
          <w:rFonts w:cs="Arial"/>
          <w:color w:val="000000" w:themeColor="text1"/>
          <w:sz w:val="21"/>
          <w:szCs w:val="21"/>
        </w:rPr>
      </w:pPr>
      <w:r w:rsidRPr="00354F5E">
        <w:rPr>
          <w:rFonts w:cs="Arial"/>
          <w:color w:val="000000" w:themeColor="text1"/>
          <w:sz w:val="21"/>
          <w:szCs w:val="21"/>
        </w:rPr>
        <w:t xml:space="preserve">In addition to the mutual fund products TCU offers, credit union professionals can also take advantage of a wide range of educational investment information and resources, including daily and monthly market commentaries. For more information, visit </w:t>
      </w:r>
      <w:hyperlink r:id="rId7" w:history="1">
        <w:r w:rsidRPr="00A362A8">
          <w:rPr>
            <w:rStyle w:val="Hyperlink"/>
            <w:rFonts w:cs="Arial"/>
            <w:sz w:val="21"/>
            <w:szCs w:val="21"/>
          </w:rPr>
          <w:t>www.trustcu.com</w:t>
        </w:r>
      </w:hyperlink>
      <w:r w:rsidRPr="00354F5E">
        <w:rPr>
          <w:rFonts w:cs="Arial"/>
          <w:color w:val="000000" w:themeColor="text1"/>
          <w:sz w:val="21"/>
          <w:szCs w:val="21"/>
        </w:rPr>
        <w:t xml:space="preserve"> or contact TCU at 800-</w:t>
      </w:r>
      <w:r w:rsidR="00A362A8">
        <w:rPr>
          <w:rFonts w:cs="Arial"/>
          <w:color w:val="000000" w:themeColor="text1"/>
          <w:sz w:val="21"/>
          <w:szCs w:val="21"/>
        </w:rPr>
        <w:t>237</w:t>
      </w:r>
      <w:r w:rsidRPr="00354F5E">
        <w:rPr>
          <w:rFonts w:cs="Arial"/>
          <w:color w:val="000000" w:themeColor="text1"/>
          <w:sz w:val="21"/>
          <w:szCs w:val="21"/>
        </w:rPr>
        <w:t>-5678.</w:t>
      </w:r>
    </w:p>
    <w:p w14:paraId="18951A22" w14:textId="6CBBF96A" w:rsidR="00F2314F" w:rsidRPr="00F2314F" w:rsidRDefault="00F2314F" w:rsidP="00354F5E">
      <w:pPr>
        <w:spacing w:line="360" w:lineRule="auto"/>
        <w:rPr>
          <w:rFonts w:cs="Calibri"/>
          <w:b/>
          <w:bCs/>
          <w:color w:val="000000" w:themeColor="text1"/>
          <w:szCs w:val="18"/>
        </w:rPr>
      </w:pPr>
      <w:r w:rsidRPr="00F2314F">
        <w:rPr>
          <w:rFonts w:cs="Calibri"/>
          <w:b/>
          <w:bCs/>
          <w:color w:val="000000" w:themeColor="text1"/>
          <w:szCs w:val="18"/>
        </w:rPr>
        <w:t>About T</w:t>
      </w:r>
      <w:r w:rsidR="00A34B04">
        <w:rPr>
          <w:rFonts w:cs="Calibri"/>
          <w:b/>
          <w:bCs/>
          <w:color w:val="000000" w:themeColor="text1"/>
          <w:szCs w:val="18"/>
        </w:rPr>
        <w:t>rust for Credit Unions</w:t>
      </w:r>
    </w:p>
    <w:p w14:paraId="2B184BFE" w14:textId="21012AB8" w:rsidR="00B8720A" w:rsidRDefault="00B8720A" w:rsidP="00B8720A">
      <w:pPr>
        <w:rPr>
          <w:rFonts w:cs="Calibri"/>
          <w:color w:val="000000" w:themeColor="text1"/>
          <w:szCs w:val="18"/>
        </w:rPr>
      </w:pPr>
      <w:r w:rsidRPr="00F2314F">
        <w:rPr>
          <w:rFonts w:cs="Calibri"/>
          <w:bCs/>
          <w:color w:val="000000" w:themeColor="text1"/>
          <w:szCs w:val="18"/>
        </w:rPr>
        <w:t xml:space="preserve">The Trust for Credit Unions (TCU) </w:t>
      </w:r>
      <w:r w:rsidRPr="00F2314F">
        <w:rPr>
          <w:rFonts w:cs="Calibri"/>
          <w:color w:val="000000" w:themeColor="text1"/>
          <w:szCs w:val="18"/>
        </w:rPr>
        <w:t xml:space="preserve">is a family of institutional mutual funds offered exclusively to credit unions. </w:t>
      </w:r>
      <w:r w:rsidRPr="00F2314F">
        <w:rPr>
          <w:rFonts w:cs="Calibri"/>
          <w:bCs/>
          <w:color w:val="000000" w:themeColor="text1"/>
          <w:szCs w:val="18"/>
        </w:rPr>
        <w:t>Callahan Financial Services</w:t>
      </w:r>
      <w:r w:rsidRPr="00B8720A">
        <w:rPr>
          <w:rFonts w:cs="Calibri"/>
          <w:b/>
          <w:bCs/>
          <w:color w:val="000000" w:themeColor="text1"/>
          <w:szCs w:val="18"/>
        </w:rPr>
        <w:t xml:space="preserve"> </w:t>
      </w:r>
      <w:r w:rsidRPr="00B8720A">
        <w:rPr>
          <w:rFonts w:cs="Calibri"/>
          <w:color w:val="000000" w:themeColor="text1"/>
          <w:szCs w:val="18"/>
        </w:rPr>
        <w:t xml:space="preserve">is a wholly owned subsidiary of Callahan &amp; Associates and is the distributor of the TCU mutual funds. </w:t>
      </w:r>
      <w:r w:rsidR="002D37B4">
        <w:rPr>
          <w:rFonts w:cs="Calibri"/>
          <w:color w:val="000000" w:themeColor="text1"/>
          <w:szCs w:val="18"/>
        </w:rPr>
        <w:t>ALM First Financial Advisors, LLC</w:t>
      </w:r>
      <w:r w:rsidRPr="00B8720A">
        <w:rPr>
          <w:rFonts w:cs="Calibri"/>
          <w:color w:val="000000" w:themeColor="text1"/>
          <w:szCs w:val="18"/>
        </w:rPr>
        <w:t xml:space="preserve"> is the investment adviser of the TCU mutual funds. To obtain a prospectus that contains detailed fund information including investment policies, risk considerations, </w:t>
      </w:r>
      <w:proofErr w:type="gramStart"/>
      <w:r w:rsidRPr="00B8720A">
        <w:rPr>
          <w:rFonts w:cs="Calibri"/>
          <w:color w:val="000000" w:themeColor="text1"/>
          <w:szCs w:val="18"/>
        </w:rPr>
        <w:t>charges</w:t>
      </w:r>
      <w:proofErr w:type="gramEnd"/>
      <w:r w:rsidRPr="00B8720A">
        <w:rPr>
          <w:rFonts w:cs="Calibri"/>
          <w:color w:val="000000" w:themeColor="text1"/>
          <w:szCs w:val="18"/>
        </w:rPr>
        <w:t xml:space="preserve"> and expenses, call Callahan Financial Services, Inc. at 800-CFS-5678. Please read the prospectus carefully.</w:t>
      </w:r>
    </w:p>
    <w:p w14:paraId="44D0A47E" w14:textId="7B3DD32A" w:rsidR="002779B9" w:rsidRDefault="00906A5B" w:rsidP="00B8720A">
      <w:pPr>
        <w:rPr>
          <w:rFonts w:cs="Calibri"/>
          <w:color w:val="000000" w:themeColor="text1"/>
          <w:szCs w:val="18"/>
        </w:rPr>
      </w:pPr>
      <w:r w:rsidRPr="00906A5B">
        <w:rPr>
          <w:rFonts w:cs="Calibri"/>
          <w:color w:val="000000" w:themeColor="text1"/>
          <w:szCs w:val="18"/>
        </w:rPr>
        <w:t xml:space="preserve">*The yields reflect the 30-day Effective Yield (net of fees/expenses). For </w:t>
      </w:r>
      <w:proofErr w:type="gramStart"/>
      <w:r w:rsidRPr="00906A5B">
        <w:rPr>
          <w:rFonts w:cs="Calibri"/>
          <w:color w:val="000000" w:themeColor="text1"/>
          <w:szCs w:val="18"/>
        </w:rPr>
        <w:t>questions</w:t>
      </w:r>
      <w:proofErr w:type="gramEnd"/>
      <w:r w:rsidRPr="00906A5B">
        <w:rPr>
          <w:rFonts w:cs="Calibri"/>
          <w:color w:val="000000" w:themeColor="text1"/>
          <w:szCs w:val="18"/>
        </w:rPr>
        <w:t xml:space="preserve"> please call the TCU Group at 1-800-237-5678.</w:t>
      </w:r>
    </w:p>
    <w:p w14:paraId="40AAC9AA" w14:textId="17068939" w:rsidR="00BB474E" w:rsidRPr="00DB2554" w:rsidRDefault="00B8720A" w:rsidP="00DB2554">
      <w:pPr>
        <w:spacing w:line="360" w:lineRule="auto"/>
        <w:jc w:val="center"/>
        <w:rPr>
          <w:color w:val="595959" w:themeColor="text1" w:themeTint="A6"/>
        </w:rPr>
      </w:pPr>
      <w:r w:rsidRPr="00B8720A">
        <w:rPr>
          <w:color w:val="595959" w:themeColor="text1" w:themeTint="A6"/>
        </w:rPr>
        <w:t># # #</w:t>
      </w:r>
    </w:p>
    <w:sectPr w:rsidR="00BB474E" w:rsidRPr="00DB2554" w:rsidSect="009729CA">
      <w:headerReference w:type="default" r:id="rId8"/>
      <w:footerReference w:type="default" r:id="rId9"/>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41FC0" w14:textId="77777777" w:rsidR="0083447D" w:rsidRDefault="0083447D" w:rsidP="009729CA">
      <w:pPr>
        <w:spacing w:after="0" w:line="240" w:lineRule="auto"/>
      </w:pPr>
      <w:r>
        <w:separator/>
      </w:r>
    </w:p>
  </w:endnote>
  <w:endnote w:type="continuationSeparator" w:id="0">
    <w:p w14:paraId="1274FB4A" w14:textId="77777777" w:rsidR="0083447D" w:rsidRDefault="0083447D" w:rsidP="0097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0967" w14:textId="77777777" w:rsidR="00F23D12" w:rsidRPr="00F23D12" w:rsidRDefault="00F23D12">
    <w:pPr>
      <w:pStyle w:val="Footer"/>
      <w:rPr>
        <w:sz w:val="14"/>
        <w:szCs w:val="14"/>
      </w:rPr>
    </w:pPr>
    <w:r w:rsidRPr="00F23D12">
      <w:rPr>
        <w:sz w:val="14"/>
        <w:szCs w:val="14"/>
      </w:rPr>
      <w:t xml:space="preserve">1-800-237-5678 | </w:t>
    </w:r>
    <w:hyperlink r:id="rId1" w:history="1">
      <w:r w:rsidRPr="00F23D12">
        <w:rPr>
          <w:rStyle w:val="Hyperlink"/>
          <w:sz w:val="14"/>
          <w:szCs w:val="14"/>
        </w:rPr>
        <w:t>TCUgroup@trustcu.com</w:t>
      </w:r>
    </w:hyperlink>
  </w:p>
  <w:p w14:paraId="585F9573" w14:textId="77777777" w:rsidR="00F23D12" w:rsidRPr="00F23D12" w:rsidRDefault="00F23D12">
    <w:pPr>
      <w:pStyle w:val="Footer"/>
      <w:rPr>
        <w:sz w:val="14"/>
        <w:szCs w:val="14"/>
      </w:rPr>
    </w:pPr>
    <w:r w:rsidRPr="00F23D12">
      <w:rPr>
        <w:sz w:val="14"/>
        <w:szCs w:val="14"/>
      </w:rPr>
      <w:t>1001 Connecticut Ave, NW, Suite 1001, Washington DC 20036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6140" w14:textId="77777777" w:rsidR="0083447D" w:rsidRDefault="0083447D" w:rsidP="009729CA">
      <w:pPr>
        <w:spacing w:after="0" w:line="240" w:lineRule="auto"/>
      </w:pPr>
      <w:r>
        <w:separator/>
      </w:r>
    </w:p>
  </w:footnote>
  <w:footnote w:type="continuationSeparator" w:id="0">
    <w:p w14:paraId="48660C30" w14:textId="77777777" w:rsidR="0083447D" w:rsidRDefault="0083447D" w:rsidP="0097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E02BD" w14:textId="77777777" w:rsidR="009729CA" w:rsidRDefault="009729CA" w:rsidP="009729CA">
    <w:pPr>
      <w:pStyle w:val="Header"/>
      <w:ind w:left="-540"/>
    </w:pPr>
    <w:r>
      <w:rPr>
        <w:noProof/>
      </w:rPr>
      <w:drawing>
        <wp:inline distT="0" distB="0" distL="0" distR="0" wp14:anchorId="4C32A65B" wp14:editId="4E24C401">
          <wp:extent cx="6565811" cy="14071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U-Press release wor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5811" cy="1407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CA"/>
    <w:rsid w:val="00001EC4"/>
    <w:rsid w:val="000141D8"/>
    <w:rsid w:val="000149B6"/>
    <w:rsid w:val="00020489"/>
    <w:rsid w:val="00021FA9"/>
    <w:rsid w:val="00041928"/>
    <w:rsid w:val="000531B6"/>
    <w:rsid w:val="00057A6D"/>
    <w:rsid w:val="00075D97"/>
    <w:rsid w:val="000806ED"/>
    <w:rsid w:val="00084ACE"/>
    <w:rsid w:val="00087D88"/>
    <w:rsid w:val="00090254"/>
    <w:rsid w:val="00097C1A"/>
    <w:rsid w:val="000B16CA"/>
    <w:rsid w:val="000B2146"/>
    <w:rsid w:val="000C1C85"/>
    <w:rsid w:val="000C53CB"/>
    <w:rsid w:val="000C63EC"/>
    <w:rsid w:val="000C67B0"/>
    <w:rsid w:val="000C7B17"/>
    <w:rsid w:val="000D13AE"/>
    <w:rsid w:val="000D4532"/>
    <w:rsid w:val="000E38FE"/>
    <w:rsid w:val="00105F2C"/>
    <w:rsid w:val="00123137"/>
    <w:rsid w:val="00127586"/>
    <w:rsid w:val="00135580"/>
    <w:rsid w:val="00136DF8"/>
    <w:rsid w:val="00152D7B"/>
    <w:rsid w:val="00153644"/>
    <w:rsid w:val="00180A9C"/>
    <w:rsid w:val="00180AEB"/>
    <w:rsid w:val="0018300A"/>
    <w:rsid w:val="001942F5"/>
    <w:rsid w:val="00194E9E"/>
    <w:rsid w:val="001A1031"/>
    <w:rsid w:val="001A4EEB"/>
    <w:rsid w:val="001D3197"/>
    <w:rsid w:val="001D5426"/>
    <w:rsid w:val="001E131B"/>
    <w:rsid w:val="001E1903"/>
    <w:rsid w:val="001E19EA"/>
    <w:rsid w:val="001E499E"/>
    <w:rsid w:val="002027A2"/>
    <w:rsid w:val="00214AE6"/>
    <w:rsid w:val="00214D7B"/>
    <w:rsid w:val="0023265C"/>
    <w:rsid w:val="00242068"/>
    <w:rsid w:val="00251D8C"/>
    <w:rsid w:val="00276DED"/>
    <w:rsid w:val="00277011"/>
    <w:rsid w:val="002779B9"/>
    <w:rsid w:val="00282B11"/>
    <w:rsid w:val="00295648"/>
    <w:rsid w:val="0029767C"/>
    <w:rsid w:val="002A1D91"/>
    <w:rsid w:val="002A2B1C"/>
    <w:rsid w:val="002A2E9C"/>
    <w:rsid w:val="002B6D93"/>
    <w:rsid w:val="002D37B4"/>
    <w:rsid w:val="002D7058"/>
    <w:rsid w:val="002D7C29"/>
    <w:rsid w:val="002E1184"/>
    <w:rsid w:val="002E4808"/>
    <w:rsid w:val="002F4C40"/>
    <w:rsid w:val="00320310"/>
    <w:rsid w:val="00323BCE"/>
    <w:rsid w:val="0032449E"/>
    <w:rsid w:val="00340F1B"/>
    <w:rsid w:val="0034138D"/>
    <w:rsid w:val="00354F5E"/>
    <w:rsid w:val="00361268"/>
    <w:rsid w:val="00365D8D"/>
    <w:rsid w:val="0037060E"/>
    <w:rsid w:val="00374E96"/>
    <w:rsid w:val="00375EF4"/>
    <w:rsid w:val="003818DE"/>
    <w:rsid w:val="00386A69"/>
    <w:rsid w:val="003916F4"/>
    <w:rsid w:val="00394FD4"/>
    <w:rsid w:val="003A0F11"/>
    <w:rsid w:val="003A5FDE"/>
    <w:rsid w:val="003B3DEE"/>
    <w:rsid w:val="003C0EA7"/>
    <w:rsid w:val="003C16E4"/>
    <w:rsid w:val="003C71A8"/>
    <w:rsid w:val="003C7E31"/>
    <w:rsid w:val="003C7E69"/>
    <w:rsid w:val="003D6738"/>
    <w:rsid w:val="003D7082"/>
    <w:rsid w:val="003E611F"/>
    <w:rsid w:val="003F497D"/>
    <w:rsid w:val="003F7593"/>
    <w:rsid w:val="0040566C"/>
    <w:rsid w:val="00417B6C"/>
    <w:rsid w:val="0042044A"/>
    <w:rsid w:val="00421B45"/>
    <w:rsid w:val="00433582"/>
    <w:rsid w:val="00435F68"/>
    <w:rsid w:val="004524B2"/>
    <w:rsid w:val="00462A5B"/>
    <w:rsid w:val="0046570E"/>
    <w:rsid w:val="004843E0"/>
    <w:rsid w:val="004A5EEA"/>
    <w:rsid w:val="004B2D9B"/>
    <w:rsid w:val="004B4284"/>
    <w:rsid w:val="004B7708"/>
    <w:rsid w:val="004B79E9"/>
    <w:rsid w:val="004C33B2"/>
    <w:rsid w:val="004C7989"/>
    <w:rsid w:val="004E243C"/>
    <w:rsid w:val="004F3971"/>
    <w:rsid w:val="0051285C"/>
    <w:rsid w:val="00512F4A"/>
    <w:rsid w:val="0053140B"/>
    <w:rsid w:val="00536142"/>
    <w:rsid w:val="00536939"/>
    <w:rsid w:val="00536A0F"/>
    <w:rsid w:val="00540E5D"/>
    <w:rsid w:val="00557E37"/>
    <w:rsid w:val="00561E12"/>
    <w:rsid w:val="0056359A"/>
    <w:rsid w:val="00570198"/>
    <w:rsid w:val="005753A2"/>
    <w:rsid w:val="00583917"/>
    <w:rsid w:val="005A0EB6"/>
    <w:rsid w:val="005A19C3"/>
    <w:rsid w:val="005A2FC0"/>
    <w:rsid w:val="005A5324"/>
    <w:rsid w:val="005A756F"/>
    <w:rsid w:val="005B2DD0"/>
    <w:rsid w:val="005B60D6"/>
    <w:rsid w:val="005C27EE"/>
    <w:rsid w:val="005C2BF4"/>
    <w:rsid w:val="005C6440"/>
    <w:rsid w:val="005D7F31"/>
    <w:rsid w:val="005E280D"/>
    <w:rsid w:val="005E3315"/>
    <w:rsid w:val="005E3CE3"/>
    <w:rsid w:val="005E6C96"/>
    <w:rsid w:val="00623ED7"/>
    <w:rsid w:val="00626430"/>
    <w:rsid w:val="00630C4F"/>
    <w:rsid w:val="00656844"/>
    <w:rsid w:val="0065790C"/>
    <w:rsid w:val="00662D79"/>
    <w:rsid w:val="00670152"/>
    <w:rsid w:val="00685100"/>
    <w:rsid w:val="006912C5"/>
    <w:rsid w:val="00692B95"/>
    <w:rsid w:val="0069663D"/>
    <w:rsid w:val="006A2B1F"/>
    <w:rsid w:val="006A2FF6"/>
    <w:rsid w:val="006A6E65"/>
    <w:rsid w:val="006E1514"/>
    <w:rsid w:val="00707DA0"/>
    <w:rsid w:val="007143D7"/>
    <w:rsid w:val="00720879"/>
    <w:rsid w:val="00724188"/>
    <w:rsid w:val="0073209F"/>
    <w:rsid w:val="007371F6"/>
    <w:rsid w:val="00737BCB"/>
    <w:rsid w:val="00744183"/>
    <w:rsid w:val="007572C9"/>
    <w:rsid w:val="0078403E"/>
    <w:rsid w:val="00787F3B"/>
    <w:rsid w:val="00794DC7"/>
    <w:rsid w:val="007A115D"/>
    <w:rsid w:val="007A1E06"/>
    <w:rsid w:val="007A602D"/>
    <w:rsid w:val="007A7D92"/>
    <w:rsid w:val="007C334E"/>
    <w:rsid w:val="007C3484"/>
    <w:rsid w:val="007C7A91"/>
    <w:rsid w:val="007D0631"/>
    <w:rsid w:val="007E2E59"/>
    <w:rsid w:val="007E459D"/>
    <w:rsid w:val="007E5C5A"/>
    <w:rsid w:val="007F758B"/>
    <w:rsid w:val="00804707"/>
    <w:rsid w:val="0083447D"/>
    <w:rsid w:val="008357D6"/>
    <w:rsid w:val="00843030"/>
    <w:rsid w:val="00846FC8"/>
    <w:rsid w:val="00850930"/>
    <w:rsid w:val="0085394C"/>
    <w:rsid w:val="00860777"/>
    <w:rsid w:val="00863E07"/>
    <w:rsid w:val="00864CBC"/>
    <w:rsid w:val="00873A81"/>
    <w:rsid w:val="0087536A"/>
    <w:rsid w:val="00881040"/>
    <w:rsid w:val="00886E6D"/>
    <w:rsid w:val="008A30A0"/>
    <w:rsid w:val="008B0768"/>
    <w:rsid w:val="008C003D"/>
    <w:rsid w:val="008C6D91"/>
    <w:rsid w:val="008D18BF"/>
    <w:rsid w:val="008D1C01"/>
    <w:rsid w:val="008D60A1"/>
    <w:rsid w:val="008E2372"/>
    <w:rsid w:val="008E341D"/>
    <w:rsid w:val="008F0DE3"/>
    <w:rsid w:val="008F3F09"/>
    <w:rsid w:val="008F5D28"/>
    <w:rsid w:val="00903D94"/>
    <w:rsid w:val="00904B45"/>
    <w:rsid w:val="00906A5B"/>
    <w:rsid w:val="009256DE"/>
    <w:rsid w:val="00945BAB"/>
    <w:rsid w:val="0095115F"/>
    <w:rsid w:val="00952CC4"/>
    <w:rsid w:val="009665D5"/>
    <w:rsid w:val="009729CA"/>
    <w:rsid w:val="0098687E"/>
    <w:rsid w:val="0099046F"/>
    <w:rsid w:val="009A4CC8"/>
    <w:rsid w:val="009B2369"/>
    <w:rsid w:val="009C44F6"/>
    <w:rsid w:val="009E27D9"/>
    <w:rsid w:val="009E61D3"/>
    <w:rsid w:val="00A06B44"/>
    <w:rsid w:val="00A1137E"/>
    <w:rsid w:val="00A240AE"/>
    <w:rsid w:val="00A25269"/>
    <w:rsid w:val="00A34B04"/>
    <w:rsid w:val="00A3512B"/>
    <w:rsid w:val="00A35B94"/>
    <w:rsid w:val="00A362A8"/>
    <w:rsid w:val="00A368E4"/>
    <w:rsid w:val="00A41955"/>
    <w:rsid w:val="00A42D50"/>
    <w:rsid w:val="00A50348"/>
    <w:rsid w:val="00A512E5"/>
    <w:rsid w:val="00A53509"/>
    <w:rsid w:val="00A66AF5"/>
    <w:rsid w:val="00A66ED1"/>
    <w:rsid w:val="00A720E6"/>
    <w:rsid w:val="00A73D5B"/>
    <w:rsid w:val="00A76B58"/>
    <w:rsid w:val="00A9149A"/>
    <w:rsid w:val="00A94173"/>
    <w:rsid w:val="00A962FB"/>
    <w:rsid w:val="00A96E3E"/>
    <w:rsid w:val="00AA0DC4"/>
    <w:rsid w:val="00AA7218"/>
    <w:rsid w:val="00AB1702"/>
    <w:rsid w:val="00AB335F"/>
    <w:rsid w:val="00AB522F"/>
    <w:rsid w:val="00AC162D"/>
    <w:rsid w:val="00AC4675"/>
    <w:rsid w:val="00AD172C"/>
    <w:rsid w:val="00AD19F8"/>
    <w:rsid w:val="00AD450C"/>
    <w:rsid w:val="00AD6376"/>
    <w:rsid w:val="00AD7EA1"/>
    <w:rsid w:val="00AE795C"/>
    <w:rsid w:val="00AF3C58"/>
    <w:rsid w:val="00B000B9"/>
    <w:rsid w:val="00B01D9D"/>
    <w:rsid w:val="00B121AA"/>
    <w:rsid w:val="00B1771D"/>
    <w:rsid w:val="00B23928"/>
    <w:rsid w:val="00B23DB5"/>
    <w:rsid w:val="00B35690"/>
    <w:rsid w:val="00B42567"/>
    <w:rsid w:val="00B46B34"/>
    <w:rsid w:val="00B575CD"/>
    <w:rsid w:val="00B660A2"/>
    <w:rsid w:val="00B71445"/>
    <w:rsid w:val="00B772DB"/>
    <w:rsid w:val="00B77342"/>
    <w:rsid w:val="00B80F78"/>
    <w:rsid w:val="00B8720A"/>
    <w:rsid w:val="00B91AD6"/>
    <w:rsid w:val="00BA53FE"/>
    <w:rsid w:val="00BA7ABD"/>
    <w:rsid w:val="00BB474E"/>
    <w:rsid w:val="00BB6205"/>
    <w:rsid w:val="00BB7637"/>
    <w:rsid w:val="00BC3DAE"/>
    <w:rsid w:val="00BC5D94"/>
    <w:rsid w:val="00BC667B"/>
    <w:rsid w:val="00BC7CCD"/>
    <w:rsid w:val="00BE59B5"/>
    <w:rsid w:val="00C149F5"/>
    <w:rsid w:val="00C27C2D"/>
    <w:rsid w:val="00C35FDD"/>
    <w:rsid w:val="00C5721D"/>
    <w:rsid w:val="00C67E7D"/>
    <w:rsid w:val="00C721E4"/>
    <w:rsid w:val="00C836F9"/>
    <w:rsid w:val="00C8703D"/>
    <w:rsid w:val="00C919C1"/>
    <w:rsid w:val="00C94057"/>
    <w:rsid w:val="00CA1D9B"/>
    <w:rsid w:val="00CA3326"/>
    <w:rsid w:val="00CA37A9"/>
    <w:rsid w:val="00CA6E0D"/>
    <w:rsid w:val="00CB5BA8"/>
    <w:rsid w:val="00CC2AE6"/>
    <w:rsid w:val="00CC5ECB"/>
    <w:rsid w:val="00CD1ED5"/>
    <w:rsid w:val="00CD6631"/>
    <w:rsid w:val="00CD6972"/>
    <w:rsid w:val="00CE22CA"/>
    <w:rsid w:val="00CE4663"/>
    <w:rsid w:val="00CE542D"/>
    <w:rsid w:val="00CF224D"/>
    <w:rsid w:val="00CF2988"/>
    <w:rsid w:val="00CF3150"/>
    <w:rsid w:val="00CF6532"/>
    <w:rsid w:val="00CF7870"/>
    <w:rsid w:val="00D065DA"/>
    <w:rsid w:val="00D115DC"/>
    <w:rsid w:val="00D14850"/>
    <w:rsid w:val="00D211CB"/>
    <w:rsid w:val="00D22EC1"/>
    <w:rsid w:val="00D32A26"/>
    <w:rsid w:val="00D44ED6"/>
    <w:rsid w:val="00D4642E"/>
    <w:rsid w:val="00D474C7"/>
    <w:rsid w:val="00D52346"/>
    <w:rsid w:val="00D60B09"/>
    <w:rsid w:val="00D74CE0"/>
    <w:rsid w:val="00D7764F"/>
    <w:rsid w:val="00D8102A"/>
    <w:rsid w:val="00D81BDA"/>
    <w:rsid w:val="00D91E87"/>
    <w:rsid w:val="00D96CC0"/>
    <w:rsid w:val="00D97909"/>
    <w:rsid w:val="00DA00A2"/>
    <w:rsid w:val="00DA4968"/>
    <w:rsid w:val="00DA4FA4"/>
    <w:rsid w:val="00DB0156"/>
    <w:rsid w:val="00DB2554"/>
    <w:rsid w:val="00DB709C"/>
    <w:rsid w:val="00DD12C7"/>
    <w:rsid w:val="00DD7FBF"/>
    <w:rsid w:val="00DF5276"/>
    <w:rsid w:val="00E03B6B"/>
    <w:rsid w:val="00E04B10"/>
    <w:rsid w:val="00E05725"/>
    <w:rsid w:val="00E072AF"/>
    <w:rsid w:val="00E137FA"/>
    <w:rsid w:val="00E308D7"/>
    <w:rsid w:val="00E57550"/>
    <w:rsid w:val="00E60F05"/>
    <w:rsid w:val="00E61180"/>
    <w:rsid w:val="00E77961"/>
    <w:rsid w:val="00E85860"/>
    <w:rsid w:val="00E935AD"/>
    <w:rsid w:val="00E95F16"/>
    <w:rsid w:val="00E96B27"/>
    <w:rsid w:val="00E97921"/>
    <w:rsid w:val="00E97C9B"/>
    <w:rsid w:val="00EA00F9"/>
    <w:rsid w:val="00EA255E"/>
    <w:rsid w:val="00EC29BC"/>
    <w:rsid w:val="00EC4561"/>
    <w:rsid w:val="00EC5446"/>
    <w:rsid w:val="00EC6C5B"/>
    <w:rsid w:val="00EC7018"/>
    <w:rsid w:val="00ED3A00"/>
    <w:rsid w:val="00ED5077"/>
    <w:rsid w:val="00ED543D"/>
    <w:rsid w:val="00EE090D"/>
    <w:rsid w:val="00EF5A66"/>
    <w:rsid w:val="00F024A7"/>
    <w:rsid w:val="00F13A35"/>
    <w:rsid w:val="00F14430"/>
    <w:rsid w:val="00F14A8A"/>
    <w:rsid w:val="00F2314F"/>
    <w:rsid w:val="00F23D12"/>
    <w:rsid w:val="00F26B67"/>
    <w:rsid w:val="00F33721"/>
    <w:rsid w:val="00F37AF3"/>
    <w:rsid w:val="00F40D5D"/>
    <w:rsid w:val="00F43418"/>
    <w:rsid w:val="00F76CC3"/>
    <w:rsid w:val="00F87A59"/>
    <w:rsid w:val="00F94686"/>
    <w:rsid w:val="00F97141"/>
    <w:rsid w:val="00FA40F3"/>
    <w:rsid w:val="00FB2A18"/>
    <w:rsid w:val="00FB3AB3"/>
    <w:rsid w:val="00FB48F6"/>
    <w:rsid w:val="00FB5608"/>
    <w:rsid w:val="00FE0AC9"/>
    <w:rsid w:val="00FE2E4C"/>
    <w:rsid w:val="00FE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AFAB3"/>
  <w15:docId w15:val="{E5DDC3B1-A634-4E03-A616-5CEBF679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CA"/>
    <w:rPr>
      <w:rFonts w:ascii="Verdana" w:hAnsi="Verdana"/>
      <w:sz w:val="18"/>
    </w:rPr>
  </w:style>
  <w:style w:type="paragraph" w:styleId="Heading4">
    <w:name w:val="heading 4"/>
    <w:basedOn w:val="Normal"/>
    <w:link w:val="Heading4Char"/>
    <w:uiPriority w:val="9"/>
    <w:qFormat/>
    <w:rsid w:val="00B8720A"/>
    <w:pPr>
      <w:spacing w:after="150" w:line="240" w:lineRule="auto"/>
      <w:outlineLvl w:val="3"/>
    </w:pPr>
    <w:rPr>
      <w:rFonts w:ascii="Arial" w:eastAsia="Times New Roman" w:hAnsi="Arial" w:cs="Arial"/>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CA"/>
  </w:style>
  <w:style w:type="paragraph" w:styleId="Footer">
    <w:name w:val="footer"/>
    <w:basedOn w:val="Normal"/>
    <w:link w:val="FooterChar"/>
    <w:uiPriority w:val="99"/>
    <w:unhideWhenUsed/>
    <w:rsid w:val="0097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CA"/>
  </w:style>
  <w:style w:type="paragraph" w:styleId="BalloonText">
    <w:name w:val="Balloon Text"/>
    <w:basedOn w:val="Normal"/>
    <w:link w:val="BalloonTextChar"/>
    <w:uiPriority w:val="99"/>
    <w:semiHidden/>
    <w:unhideWhenUsed/>
    <w:rsid w:val="00972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9CA"/>
    <w:rPr>
      <w:rFonts w:ascii="Tahoma" w:hAnsi="Tahoma" w:cs="Tahoma"/>
      <w:sz w:val="16"/>
      <w:szCs w:val="16"/>
    </w:rPr>
  </w:style>
  <w:style w:type="character" w:styleId="Hyperlink">
    <w:name w:val="Hyperlink"/>
    <w:basedOn w:val="DefaultParagraphFont"/>
    <w:uiPriority w:val="99"/>
    <w:unhideWhenUsed/>
    <w:rsid w:val="00F23D12"/>
    <w:rPr>
      <w:color w:val="0000FF" w:themeColor="hyperlink"/>
      <w:u w:val="single"/>
    </w:rPr>
  </w:style>
  <w:style w:type="character" w:customStyle="1" w:styleId="Heading4Char">
    <w:name w:val="Heading 4 Char"/>
    <w:basedOn w:val="DefaultParagraphFont"/>
    <w:link w:val="Heading4"/>
    <w:uiPriority w:val="9"/>
    <w:rsid w:val="00B8720A"/>
    <w:rPr>
      <w:rFonts w:ascii="Arial" w:eastAsia="Times New Roman" w:hAnsi="Arial" w:cs="Arial"/>
      <w:b/>
      <w:bCs/>
      <w:color w:val="202020"/>
      <w:sz w:val="33"/>
      <w:szCs w:val="33"/>
    </w:rPr>
  </w:style>
  <w:style w:type="paragraph" w:customStyle="1" w:styleId="Default">
    <w:name w:val="Default"/>
    <w:rsid w:val="00B8720A"/>
    <w:pPr>
      <w:autoSpaceDE w:val="0"/>
      <w:autoSpaceDN w:val="0"/>
      <w:adjustRightInd w:val="0"/>
      <w:spacing w:after="0" w:line="240" w:lineRule="auto"/>
    </w:pPr>
    <w:rPr>
      <w:rFonts w:ascii="Tahoma" w:eastAsia="Calibri" w:hAnsi="Tahoma" w:cs="Tahoma"/>
      <w:color w:val="000000"/>
      <w:sz w:val="24"/>
      <w:szCs w:val="24"/>
    </w:rPr>
  </w:style>
  <w:style w:type="character" w:styleId="CommentReference">
    <w:name w:val="annotation reference"/>
    <w:basedOn w:val="DefaultParagraphFont"/>
    <w:uiPriority w:val="99"/>
    <w:semiHidden/>
    <w:unhideWhenUsed/>
    <w:rsid w:val="006A2B1F"/>
    <w:rPr>
      <w:sz w:val="16"/>
      <w:szCs w:val="16"/>
    </w:rPr>
  </w:style>
  <w:style w:type="paragraph" w:styleId="CommentText">
    <w:name w:val="annotation text"/>
    <w:basedOn w:val="Normal"/>
    <w:link w:val="CommentTextChar"/>
    <w:uiPriority w:val="99"/>
    <w:semiHidden/>
    <w:unhideWhenUsed/>
    <w:rsid w:val="006A2B1F"/>
    <w:pPr>
      <w:spacing w:line="240" w:lineRule="auto"/>
    </w:pPr>
    <w:rPr>
      <w:sz w:val="20"/>
      <w:szCs w:val="20"/>
    </w:rPr>
  </w:style>
  <w:style w:type="character" w:customStyle="1" w:styleId="CommentTextChar">
    <w:name w:val="Comment Text Char"/>
    <w:basedOn w:val="DefaultParagraphFont"/>
    <w:link w:val="CommentText"/>
    <w:uiPriority w:val="99"/>
    <w:semiHidden/>
    <w:rsid w:val="006A2B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2B1F"/>
    <w:rPr>
      <w:b/>
      <w:bCs/>
    </w:rPr>
  </w:style>
  <w:style w:type="character" w:customStyle="1" w:styleId="CommentSubjectChar">
    <w:name w:val="Comment Subject Char"/>
    <w:basedOn w:val="CommentTextChar"/>
    <w:link w:val="CommentSubject"/>
    <w:uiPriority w:val="99"/>
    <w:semiHidden/>
    <w:rsid w:val="006A2B1F"/>
    <w:rPr>
      <w:rFonts w:ascii="Verdana" w:hAnsi="Verdana"/>
      <w:b/>
      <w:bCs/>
      <w:sz w:val="20"/>
      <w:szCs w:val="20"/>
    </w:rPr>
  </w:style>
  <w:style w:type="paragraph" w:styleId="Revision">
    <w:name w:val="Revision"/>
    <w:hidden/>
    <w:uiPriority w:val="99"/>
    <w:semiHidden/>
    <w:rsid w:val="006A2B1F"/>
    <w:pPr>
      <w:spacing w:after="0" w:line="240" w:lineRule="auto"/>
    </w:pPr>
    <w:rPr>
      <w:rFonts w:ascii="Verdana" w:hAnsi="Verdana"/>
      <w:sz w:val="18"/>
    </w:rPr>
  </w:style>
  <w:style w:type="character" w:styleId="UnresolvedMention">
    <w:name w:val="Unresolved Mention"/>
    <w:basedOn w:val="DefaultParagraphFont"/>
    <w:uiPriority w:val="99"/>
    <w:semiHidden/>
    <w:unhideWhenUsed/>
    <w:rsid w:val="001E19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7938">
      <w:bodyDiv w:val="1"/>
      <w:marLeft w:val="0"/>
      <w:marRight w:val="0"/>
      <w:marTop w:val="0"/>
      <w:marBottom w:val="0"/>
      <w:divBdr>
        <w:top w:val="none" w:sz="0" w:space="0" w:color="auto"/>
        <w:left w:val="none" w:sz="0" w:space="0" w:color="auto"/>
        <w:bottom w:val="none" w:sz="0" w:space="0" w:color="auto"/>
        <w:right w:val="none" w:sz="0" w:space="0" w:color="auto"/>
      </w:divBdr>
    </w:div>
    <w:div w:id="669674230">
      <w:bodyDiv w:val="1"/>
      <w:marLeft w:val="0"/>
      <w:marRight w:val="0"/>
      <w:marTop w:val="0"/>
      <w:marBottom w:val="0"/>
      <w:divBdr>
        <w:top w:val="none" w:sz="0" w:space="0" w:color="auto"/>
        <w:left w:val="none" w:sz="0" w:space="0" w:color="auto"/>
        <w:bottom w:val="none" w:sz="0" w:space="0" w:color="auto"/>
        <w:right w:val="none" w:sz="0" w:space="0" w:color="auto"/>
      </w:divBdr>
    </w:div>
    <w:div w:id="8177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docs.live.net/7459ce722c49037d/Documents/www.trust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impson@callaha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CUgroup@trust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Mhoopes</dc:creator>
  <cp:lastModifiedBy>Sharon Simpson</cp:lastModifiedBy>
  <cp:revision>3</cp:revision>
  <dcterms:created xsi:type="dcterms:W3CDTF">2021-02-12T15:32:00Z</dcterms:created>
  <dcterms:modified xsi:type="dcterms:W3CDTF">2021-02-12T16:43:00Z</dcterms:modified>
</cp:coreProperties>
</file>