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0C24" w14:textId="77777777" w:rsidR="005B2323" w:rsidRDefault="005B2323">
      <w:pPr>
        <w:spacing w:before="240" w:after="0" w:line="240" w:lineRule="auto"/>
        <w:rPr>
          <w:rFonts w:ascii="Quattrocento Sans" w:eastAsia="Quattrocento Sans" w:hAnsi="Quattrocento Sans" w:cs="Quattrocento Sans"/>
          <w:sz w:val="21"/>
          <w:szCs w:val="21"/>
        </w:rPr>
      </w:pPr>
    </w:p>
    <w:p w14:paraId="1768B106" w14:textId="77777777" w:rsidR="005B2323" w:rsidRDefault="00CA77D5">
      <w:pPr>
        <w:pBdr>
          <w:top w:val="nil"/>
          <w:left w:val="nil"/>
          <w:bottom w:val="nil"/>
          <w:right w:val="nil"/>
          <w:between w:val="nil"/>
        </w:pBdr>
        <w:spacing w:after="0" w:line="240" w:lineRule="auto"/>
        <w:jc w:val="center"/>
        <w:rPr>
          <w:rFonts w:ascii="Arial" w:eastAsia="Arial" w:hAnsi="Arial" w:cs="Arial"/>
          <w:b/>
          <w:color w:val="000000"/>
        </w:rPr>
      </w:pPr>
      <w:proofErr w:type="spellStart"/>
      <w:r>
        <w:rPr>
          <w:rFonts w:ascii="Arial" w:eastAsia="Arial" w:hAnsi="Arial" w:cs="Arial"/>
          <w:b/>
          <w:color w:val="000000"/>
        </w:rPr>
        <w:t>Sensibill</w:t>
      </w:r>
      <w:proofErr w:type="spellEnd"/>
      <w:r>
        <w:rPr>
          <w:rFonts w:ascii="Arial" w:eastAsia="Arial" w:hAnsi="Arial" w:cs="Arial"/>
          <w:b/>
          <w:color w:val="000000"/>
        </w:rPr>
        <w:t xml:space="preserve"> Launches </w:t>
      </w:r>
      <w:proofErr w:type="gramStart"/>
      <w:r>
        <w:rPr>
          <w:rFonts w:ascii="Arial" w:eastAsia="Arial" w:hAnsi="Arial" w:cs="Arial"/>
          <w:b/>
          <w:i/>
          <w:color w:val="000000"/>
        </w:rPr>
        <w:t>The</w:t>
      </w:r>
      <w:proofErr w:type="gramEnd"/>
      <w:r>
        <w:rPr>
          <w:rFonts w:ascii="Arial" w:eastAsia="Arial" w:hAnsi="Arial" w:cs="Arial"/>
          <w:b/>
          <w:i/>
          <w:color w:val="000000"/>
        </w:rPr>
        <w:t xml:space="preserve"> Barcode Report, </w:t>
      </w:r>
      <w:r>
        <w:rPr>
          <w:rFonts w:ascii="Arial" w:eastAsia="Arial" w:hAnsi="Arial" w:cs="Arial"/>
          <w:b/>
          <w:color w:val="000000"/>
        </w:rPr>
        <w:t>Shares Insights from SKU-level Data</w:t>
      </w:r>
    </w:p>
    <w:p w14:paraId="265BF4E5" w14:textId="77777777" w:rsidR="005B2323" w:rsidRDefault="00CA77D5">
      <w:pPr>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i/>
        </w:rPr>
        <w:t>The inaugural</w:t>
      </w:r>
      <w:r>
        <w:rPr>
          <w:rFonts w:ascii="Arial" w:eastAsia="Arial" w:hAnsi="Arial" w:cs="Arial"/>
          <w:i/>
          <w:color w:val="000000"/>
        </w:rPr>
        <w:t xml:space="preserve"> </w:t>
      </w:r>
      <w:r>
        <w:rPr>
          <w:rFonts w:ascii="Arial" w:eastAsia="Arial" w:hAnsi="Arial" w:cs="Arial"/>
          <w:i/>
        </w:rPr>
        <w:t>report</w:t>
      </w:r>
      <w:r>
        <w:rPr>
          <w:rFonts w:ascii="Arial" w:eastAsia="Arial" w:hAnsi="Arial" w:cs="Arial"/>
          <w:i/>
          <w:color w:val="000000"/>
        </w:rPr>
        <w:t xml:space="preserve"> looks at how food spending changed during the pandemic  </w:t>
      </w:r>
    </w:p>
    <w:p w14:paraId="30CEB422" w14:textId="1755F95D" w:rsidR="005B2323" w:rsidRDefault="00CA77D5">
      <w:pPr>
        <w:spacing w:before="220" w:after="360" w:line="240" w:lineRule="auto"/>
        <w:rPr>
          <w:rFonts w:ascii="Arial" w:eastAsia="Arial" w:hAnsi="Arial" w:cs="Arial"/>
          <w:color w:val="000000"/>
        </w:rPr>
      </w:pPr>
      <w:r>
        <w:rPr>
          <w:rFonts w:ascii="Arial" w:eastAsia="Arial" w:hAnsi="Arial" w:cs="Arial"/>
          <w:b/>
          <w:color w:val="000000"/>
        </w:rPr>
        <w:t xml:space="preserve">TORONTO, </w:t>
      </w:r>
      <w:r>
        <w:rPr>
          <w:rFonts w:ascii="Arial" w:eastAsia="Arial" w:hAnsi="Arial" w:cs="Arial"/>
          <w:color w:val="000000"/>
        </w:rPr>
        <w:t>March 4, 2021 –</w:t>
      </w:r>
      <w:hyperlink r:id="rId6">
        <w:r>
          <w:rPr>
            <w:rFonts w:ascii="Arial" w:eastAsia="Arial" w:hAnsi="Arial" w:cs="Arial"/>
            <w:color w:val="000000"/>
            <w:u w:val="single"/>
          </w:rPr>
          <w:t xml:space="preserve"> </w:t>
        </w:r>
      </w:hyperlink>
      <w:hyperlink r:id="rId7">
        <w:proofErr w:type="spellStart"/>
        <w:r>
          <w:rPr>
            <w:rFonts w:ascii="Arial" w:eastAsia="Arial" w:hAnsi="Arial" w:cs="Arial"/>
            <w:color w:val="1155CC"/>
            <w:u w:val="single"/>
          </w:rPr>
          <w:t>Sensibill</w:t>
        </w:r>
        <w:proofErr w:type="spellEnd"/>
      </w:hyperlink>
      <w:r>
        <w:rPr>
          <w:rFonts w:ascii="Arial" w:eastAsia="Arial" w:hAnsi="Arial" w:cs="Arial"/>
          <w:color w:val="000000"/>
        </w:rPr>
        <w:t xml:space="preserve">, the leading provider of everyday financial tools and SKU-level insights, delivers its first in a series of reports, entitled </w:t>
      </w:r>
      <w:r>
        <w:rPr>
          <w:rFonts w:ascii="Arial" w:eastAsia="Arial" w:hAnsi="Arial" w:cs="Arial"/>
          <w:i/>
          <w:color w:val="000000"/>
        </w:rPr>
        <w:t>The Barcode Report</w:t>
      </w:r>
      <w:r>
        <w:rPr>
          <w:rFonts w:ascii="Arial" w:eastAsia="Arial" w:hAnsi="Arial" w:cs="Arial"/>
          <w:color w:val="000000"/>
        </w:rPr>
        <w:t>, leveraging item-level receipt data to deliver the world</w:t>
      </w:r>
      <w:r>
        <w:rPr>
          <w:rFonts w:ascii="Arial" w:eastAsia="Arial" w:hAnsi="Arial" w:cs="Arial"/>
        </w:rPr>
        <w:t xml:space="preserve">’s deepest </w:t>
      </w:r>
      <w:r>
        <w:rPr>
          <w:rFonts w:ascii="Arial" w:eastAsia="Arial" w:hAnsi="Arial" w:cs="Arial"/>
          <w:color w:val="000000"/>
        </w:rPr>
        <w:t xml:space="preserve">and most relevant insights on everyday consumer spending. </w:t>
      </w:r>
    </w:p>
    <w:p w14:paraId="04E14603" w14:textId="77777777" w:rsidR="005B2323" w:rsidRDefault="00CA77D5">
      <w:pPr>
        <w:spacing w:before="220" w:after="360" w:line="240" w:lineRule="auto"/>
        <w:rPr>
          <w:rFonts w:ascii="Arial" w:eastAsia="Arial" w:hAnsi="Arial" w:cs="Arial"/>
          <w:color w:val="000000"/>
        </w:rPr>
      </w:pPr>
      <w:r>
        <w:rPr>
          <w:rFonts w:ascii="Arial" w:eastAsia="Arial" w:hAnsi="Arial" w:cs="Arial"/>
          <w:i/>
          <w:color w:val="000000"/>
        </w:rPr>
        <w:t>The Barcode Report</w:t>
      </w:r>
      <w:r>
        <w:rPr>
          <w:rFonts w:ascii="Arial" w:eastAsia="Arial" w:hAnsi="Arial" w:cs="Arial"/>
          <w:color w:val="000000"/>
        </w:rPr>
        <w:t xml:space="preserve"> transforms the SKU-level data derived from digital receipts, such as item names &amp; prices, taxes &amp; tips, off-card spend, return &amp; warranty information, into consumable and actionable facts. This data goes beyond the transaction-level data (i.e., date, amount, and merchant name) </w:t>
      </w:r>
      <w:r>
        <w:rPr>
          <w:rFonts w:ascii="Arial" w:eastAsia="Arial" w:hAnsi="Arial" w:cs="Arial"/>
        </w:rPr>
        <w:t>that</w:t>
      </w:r>
      <w:r>
        <w:rPr>
          <w:rFonts w:ascii="Arial" w:eastAsia="Arial" w:hAnsi="Arial" w:cs="Arial"/>
          <w:color w:val="000000"/>
        </w:rPr>
        <w:t xml:space="preserve"> </w:t>
      </w:r>
      <w:r>
        <w:rPr>
          <w:rFonts w:ascii="Arial" w:eastAsia="Arial" w:hAnsi="Arial" w:cs="Arial"/>
        </w:rPr>
        <w:t xml:space="preserve">tells organizations “how much was spent and where” to provide a true look at </w:t>
      </w:r>
      <w:r>
        <w:rPr>
          <w:rFonts w:ascii="Arial" w:eastAsia="Arial" w:hAnsi="Arial" w:cs="Arial"/>
          <w:i/>
        </w:rPr>
        <w:t>what</w:t>
      </w:r>
      <w:r>
        <w:rPr>
          <w:rFonts w:ascii="Arial" w:eastAsia="Arial" w:hAnsi="Arial" w:cs="Arial"/>
        </w:rPr>
        <w:t xml:space="preserve"> consumers and small businesses are spending their money on. </w:t>
      </w:r>
      <w:r>
        <w:rPr>
          <w:rFonts w:ascii="Arial" w:eastAsia="Arial" w:hAnsi="Arial" w:cs="Arial"/>
          <w:color w:val="000000"/>
        </w:rPr>
        <w:t xml:space="preserve">In this report, </w:t>
      </w:r>
      <w:proofErr w:type="spellStart"/>
      <w:r>
        <w:rPr>
          <w:rFonts w:ascii="Arial" w:eastAsia="Arial" w:hAnsi="Arial" w:cs="Arial"/>
          <w:color w:val="000000"/>
        </w:rPr>
        <w:t>Sensibill</w:t>
      </w:r>
      <w:proofErr w:type="spellEnd"/>
      <w:r>
        <w:rPr>
          <w:rFonts w:ascii="Arial" w:eastAsia="Arial" w:hAnsi="Arial" w:cs="Arial"/>
          <w:color w:val="000000"/>
        </w:rPr>
        <w:t xml:space="preserve"> </w:t>
      </w:r>
      <w:r>
        <w:rPr>
          <w:rFonts w:ascii="Arial" w:eastAsia="Arial" w:hAnsi="Arial" w:cs="Arial"/>
        </w:rPr>
        <w:t>has accumulated</w:t>
      </w:r>
      <w:r>
        <w:rPr>
          <w:rFonts w:ascii="Arial" w:eastAsia="Arial" w:hAnsi="Arial" w:cs="Arial"/>
          <w:color w:val="000000"/>
        </w:rPr>
        <w:t xml:space="preserve"> receipt data from millions of users across its network of banks, credit unions, and technology partners in North America and the U.K. to focus on how food spending compares to pre-pandemic behavior.</w:t>
      </w:r>
    </w:p>
    <w:p w14:paraId="51478368" w14:textId="77777777" w:rsidR="005B2323" w:rsidRDefault="00CA77D5">
      <w:pPr>
        <w:spacing w:before="220" w:after="360" w:line="240" w:lineRule="auto"/>
        <w:rPr>
          <w:rFonts w:ascii="Times New Roman" w:eastAsia="Times New Roman" w:hAnsi="Times New Roman" w:cs="Times New Roman"/>
          <w:sz w:val="24"/>
          <w:szCs w:val="24"/>
        </w:rPr>
      </w:pPr>
      <w:r>
        <w:rPr>
          <w:rFonts w:ascii="Arial" w:eastAsia="Arial" w:hAnsi="Arial" w:cs="Arial"/>
          <w:b/>
        </w:rPr>
        <w:t>Key Takeaways:</w:t>
      </w:r>
    </w:p>
    <w:p w14:paraId="3F890DF7" w14:textId="77777777" w:rsidR="005B2323" w:rsidRDefault="00CA77D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spending overall at restaurants slowed, fast food restaurants increased their volumes by 83% in 2020 when compared to the year prior.</w:t>
      </w:r>
    </w:p>
    <w:p w14:paraId="07E986C3" w14:textId="77777777" w:rsidR="005B2323" w:rsidRDefault="00CA77D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was an initial surge in grocery trips and spending, with the average grocery bill rising by 76% in Spring 2020.</w:t>
      </w:r>
    </w:p>
    <w:p w14:paraId="24E3AC00" w14:textId="77777777" w:rsidR="005B2323" w:rsidRDefault="00CA77D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After that surge in spending, grocery trips dropped in summer months, and consumers spent 40% less with each grocery trip and tracked fewer trips than pre-pandemic.</w:t>
      </w:r>
    </w:p>
    <w:p w14:paraId="4D4A4894" w14:textId="77777777" w:rsidR="005B2323" w:rsidRDefault="005B2323">
      <w:pPr>
        <w:pBdr>
          <w:top w:val="nil"/>
          <w:left w:val="nil"/>
          <w:bottom w:val="nil"/>
          <w:right w:val="nil"/>
          <w:between w:val="nil"/>
        </w:pBdr>
        <w:spacing w:after="0" w:line="240" w:lineRule="auto"/>
        <w:rPr>
          <w:rFonts w:ascii="Georgia" w:eastAsia="Georgia" w:hAnsi="Georgia" w:cs="Georgia"/>
          <w:b/>
          <w:color w:val="FF0000"/>
          <w:sz w:val="20"/>
          <w:szCs w:val="20"/>
        </w:rPr>
      </w:pPr>
    </w:p>
    <w:p w14:paraId="35CF21AB" w14:textId="77777777" w:rsidR="005B2323" w:rsidRDefault="00CA77D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single receipt – let alone the receipts of millions – </w:t>
      </w:r>
      <w:r>
        <w:rPr>
          <w:rFonts w:ascii="Arial" w:eastAsia="Arial" w:hAnsi="Arial" w:cs="Arial"/>
        </w:rPr>
        <w:t>is</w:t>
      </w:r>
      <w:r>
        <w:rPr>
          <w:rFonts w:ascii="Arial" w:eastAsia="Arial" w:hAnsi="Arial" w:cs="Arial"/>
          <w:color w:val="000000"/>
        </w:rPr>
        <w:t xml:space="preserve"> rich with data </w:t>
      </w:r>
      <w:r>
        <w:rPr>
          <w:rFonts w:ascii="Arial" w:eastAsia="Arial" w:hAnsi="Arial" w:cs="Arial"/>
        </w:rPr>
        <w:t>to power</w:t>
      </w:r>
      <w:r>
        <w:rPr>
          <w:rFonts w:ascii="Arial" w:eastAsia="Arial" w:hAnsi="Arial" w:cs="Arial"/>
          <w:color w:val="000000"/>
        </w:rPr>
        <w:t xml:space="preserve"> insights </w:t>
      </w:r>
      <w:r>
        <w:rPr>
          <w:rFonts w:ascii="Arial" w:eastAsia="Arial" w:hAnsi="Arial" w:cs="Arial"/>
        </w:rPr>
        <w:t>relevant to</w:t>
      </w:r>
      <w:r>
        <w:rPr>
          <w:rFonts w:ascii="Arial" w:eastAsia="Arial" w:hAnsi="Arial" w:cs="Arial"/>
          <w:color w:val="000000"/>
        </w:rPr>
        <w:t xml:space="preserve"> any organization,” said Izabella </w:t>
      </w:r>
      <w:proofErr w:type="spellStart"/>
      <w:r>
        <w:rPr>
          <w:rFonts w:ascii="Arial" w:eastAsia="Arial" w:hAnsi="Arial" w:cs="Arial"/>
          <w:color w:val="000000"/>
        </w:rPr>
        <w:t>Gabowicz</w:t>
      </w:r>
      <w:proofErr w:type="spellEnd"/>
      <w:r>
        <w:rPr>
          <w:rFonts w:ascii="Arial" w:eastAsia="Arial" w:hAnsi="Arial" w:cs="Arial"/>
          <w:color w:val="000000"/>
        </w:rPr>
        <w:t xml:space="preserve">, </w:t>
      </w:r>
      <w:r>
        <w:rPr>
          <w:rFonts w:ascii="Arial" w:eastAsia="Arial" w:hAnsi="Arial" w:cs="Arial"/>
        </w:rPr>
        <w:t>C</w:t>
      </w:r>
      <w:r>
        <w:rPr>
          <w:rFonts w:ascii="Arial" w:eastAsia="Arial" w:hAnsi="Arial" w:cs="Arial"/>
          <w:color w:val="000000"/>
        </w:rPr>
        <w:t xml:space="preserve">hief </w:t>
      </w:r>
      <w:r>
        <w:rPr>
          <w:rFonts w:ascii="Arial" w:eastAsia="Arial" w:hAnsi="Arial" w:cs="Arial"/>
        </w:rPr>
        <w:t>O</w:t>
      </w:r>
      <w:r>
        <w:rPr>
          <w:rFonts w:ascii="Arial" w:eastAsia="Arial" w:hAnsi="Arial" w:cs="Arial"/>
          <w:color w:val="000000"/>
        </w:rPr>
        <w:t xml:space="preserve">perating </w:t>
      </w:r>
      <w:r>
        <w:rPr>
          <w:rFonts w:ascii="Arial" w:eastAsia="Arial" w:hAnsi="Arial" w:cs="Arial"/>
        </w:rPr>
        <w:t>O</w:t>
      </w:r>
      <w:r>
        <w:rPr>
          <w:rFonts w:ascii="Arial" w:eastAsia="Arial" w:hAnsi="Arial" w:cs="Arial"/>
          <w:color w:val="000000"/>
        </w:rPr>
        <w:t xml:space="preserve">fficer of </w:t>
      </w:r>
      <w:proofErr w:type="spellStart"/>
      <w:r>
        <w:rPr>
          <w:rFonts w:ascii="Arial" w:eastAsia="Arial" w:hAnsi="Arial" w:cs="Arial"/>
          <w:color w:val="000000"/>
        </w:rPr>
        <w:t>Sensibill</w:t>
      </w:r>
      <w:proofErr w:type="spellEnd"/>
      <w:r>
        <w:rPr>
          <w:rFonts w:ascii="Arial" w:eastAsia="Arial" w:hAnsi="Arial" w:cs="Arial"/>
          <w:color w:val="000000"/>
        </w:rPr>
        <w:t xml:space="preserve">. “Our goal with these reports is to </w:t>
      </w:r>
      <w:r>
        <w:rPr>
          <w:rFonts w:ascii="Arial" w:eastAsia="Arial" w:hAnsi="Arial" w:cs="Arial"/>
        </w:rPr>
        <w:t xml:space="preserve">deliver transparent and accessible insights on everyday spend to which organizations wouldn’t typically have access, for them to better understand their customers. </w:t>
      </w:r>
      <w:r>
        <w:rPr>
          <w:rFonts w:ascii="Arial" w:eastAsia="Arial" w:hAnsi="Arial" w:cs="Arial"/>
          <w:color w:val="000000"/>
        </w:rPr>
        <w:t>Consumer behaviors are changing at a rapid pace, which is why it’s never been more important to make informed decisions and develop strategies based on fresh and relevant data.”</w:t>
      </w:r>
    </w:p>
    <w:p w14:paraId="664B7708" w14:textId="77777777" w:rsidR="005B2323" w:rsidRDefault="005B2323">
      <w:pPr>
        <w:pBdr>
          <w:top w:val="nil"/>
          <w:left w:val="nil"/>
          <w:bottom w:val="nil"/>
          <w:right w:val="nil"/>
          <w:between w:val="nil"/>
        </w:pBdr>
        <w:spacing w:after="0" w:line="240" w:lineRule="auto"/>
        <w:rPr>
          <w:rFonts w:ascii="Arial" w:eastAsia="Arial" w:hAnsi="Arial" w:cs="Arial"/>
          <w:color w:val="000000"/>
        </w:rPr>
      </w:pPr>
    </w:p>
    <w:p w14:paraId="78226CE8" w14:textId="77777777" w:rsidR="005B2323" w:rsidRDefault="00CA77D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The Barcode Report </w:t>
      </w:r>
      <w:r>
        <w:rPr>
          <w:rFonts w:ascii="Arial" w:eastAsia="Arial" w:hAnsi="Arial" w:cs="Arial"/>
          <w:color w:val="000000"/>
        </w:rPr>
        <w:t xml:space="preserve">will publish new findings every six weeks. To subscribe, please visit </w:t>
      </w:r>
      <w:hyperlink r:id="rId8">
        <w:r>
          <w:rPr>
            <w:rFonts w:ascii="Arial" w:eastAsia="Arial" w:hAnsi="Arial" w:cs="Arial"/>
            <w:color w:val="1155CC"/>
            <w:u w:val="single"/>
          </w:rPr>
          <w:t>The Barcode</w:t>
        </w:r>
      </w:hyperlink>
      <w:r>
        <w:rPr>
          <w:rFonts w:ascii="Arial" w:eastAsia="Arial" w:hAnsi="Arial" w:cs="Arial"/>
        </w:rPr>
        <w:t>.</w:t>
      </w:r>
    </w:p>
    <w:p w14:paraId="5BB8FBE9" w14:textId="77777777" w:rsidR="005B2323" w:rsidRDefault="005B2323">
      <w:pPr>
        <w:pBdr>
          <w:top w:val="nil"/>
          <w:left w:val="nil"/>
          <w:bottom w:val="nil"/>
          <w:right w:val="nil"/>
          <w:between w:val="nil"/>
        </w:pBdr>
        <w:spacing w:after="0" w:line="240" w:lineRule="auto"/>
        <w:rPr>
          <w:rFonts w:ascii="Arial" w:eastAsia="Arial" w:hAnsi="Arial" w:cs="Arial"/>
          <w:color w:val="000000"/>
        </w:rPr>
      </w:pPr>
    </w:p>
    <w:p w14:paraId="62A50EC1" w14:textId="77777777" w:rsidR="005B2323" w:rsidRDefault="00CA77D5">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About </w:t>
      </w:r>
      <w:proofErr w:type="spellStart"/>
      <w:r>
        <w:rPr>
          <w:rFonts w:ascii="Arial" w:eastAsia="Arial" w:hAnsi="Arial" w:cs="Arial"/>
          <w:b/>
          <w:color w:val="000000"/>
        </w:rPr>
        <w:t>Sensibill</w:t>
      </w:r>
      <w:proofErr w:type="spellEnd"/>
    </w:p>
    <w:p w14:paraId="7133FEA4" w14:textId="77777777" w:rsidR="005B2323" w:rsidRDefault="00CA77D5">
      <w:pPr>
        <w:shd w:val="clear" w:color="auto" w:fill="FFFFFF"/>
        <w:spacing w:after="240" w:line="240" w:lineRule="auto"/>
        <w:rPr>
          <w:rFonts w:ascii="Times New Roman" w:eastAsia="Times New Roman" w:hAnsi="Times New Roman" w:cs="Times New Roman"/>
          <w:sz w:val="24"/>
          <w:szCs w:val="24"/>
        </w:rPr>
      </w:pPr>
      <w:proofErr w:type="spellStart"/>
      <w:r>
        <w:rPr>
          <w:rFonts w:ascii="Arial" w:eastAsia="Arial" w:hAnsi="Arial" w:cs="Arial"/>
          <w:color w:val="000000"/>
        </w:rPr>
        <w:t>Sensibill</w:t>
      </w:r>
      <w:proofErr w:type="spellEnd"/>
      <w:r>
        <w:rPr>
          <w:rFonts w:ascii="Arial" w:eastAsia="Arial" w:hAnsi="Arial" w:cs="Arial"/>
          <w:color w:val="000000"/>
        </w:rPr>
        <w:t xml:space="preserve"> provides everyday financial tools and makes SKU-level data actionable, equipping financial institutions with personalized insights to help their customers build healthier financial habits. The AI-powered solution enables end-users to easily track their spending and manage their finances while unlocking unprecedented insights for the institution. </w:t>
      </w:r>
      <w:proofErr w:type="spellStart"/>
      <w:r>
        <w:rPr>
          <w:rFonts w:ascii="Arial" w:eastAsia="Arial" w:hAnsi="Arial" w:cs="Arial"/>
          <w:color w:val="000000"/>
        </w:rPr>
        <w:t>Sensibill</w:t>
      </w:r>
      <w:proofErr w:type="spellEnd"/>
      <w:r>
        <w:rPr>
          <w:rFonts w:ascii="Arial" w:eastAsia="Arial" w:hAnsi="Arial" w:cs="Arial"/>
          <w:color w:val="000000"/>
        </w:rPr>
        <w:t xml:space="preserve"> has rolled out its technology to over 60 million users across North America and the U.K. Visit</w:t>
      </w:r>
      <w:hyperlink r:id="rId9">
        <w:r>
          <w:rPr>
            <w:rFonts w:ascii="Arial" w:eastAsia="Arial" w:hAnsi="Arial" w:cs="Arial"/>
            <w:color w:val="000000"/>
            <w:u w:val="single"/>
          </w:rPr>
          <w:t xml:space="preserve"> </w:t>
        </w:r>
      </w:hyperlink>
      <w:hyperlink r:id="rId10">
        <w:r>
          <w:rPr>
            <w:rFonts w:ascii="Arial" w:eastAsia="Arial" w:hAnsi="Arial" w:cs="Arial"/>
            <w:color w:val="1155CC"/>
            <w:u w:val="single"/>
          </w:rPr>
          <w:t>getsensibill.com</w:t>
        </w:r>
      </w:hyperlink>
      <w:r>
        <w:rPr>
          <w:rFonts w:ascii="Arial" w:eastAsia="Arial" w:hAnsi="Arial" w:cs="Arial"/>
          <w:color w:val="000000"/>
        </w:rPr>
        <w:t xml:space="preserve"> to learn more.</w:t>
      </w:r>
    </w:p>
    <w:tbl>
      <w:tblPr>
        <w:tblStyle w:val="a"/>
        <w:tblW w:w="3581" w:type="dxa"/>
        <w:tblLayout w:type="fixed"/>
        <w:tblLook w:val="0400" w:firstRow="0" w:lastRow="0" w:firstColumn="0" w:lastColumn="0" w:noHBand="0" w:noVBand="1"/>
      </w:tblPr>
      <w:tblGrid>
        <w:gridCol w:w="1483"/>
        <w:gridCol w:w="2098"/>
      </w:tblGrid>
      <w:tr w:rsidR="005B2323" w14:paraId="412B1531" w14:textId="77777777">
        <w:trPr>
          <w:trHeight w:val="300"/>
        </w:trPr>
        <w:tc>
          <w:tcPr>
            <w:tcW w:w="1483" w:type="dxa"/>
            <w:shd w:val="clear" w:color="auto" w:fill="FFFFFF"/>
            <w:tcMar>
              <w:top w:w="20" w:type="dxa"/>
              <w:left w:w="20" w:type="dxa"/>
              <w:bottom w:w="20" w:type="dxa"/>
              <w:right w:w="20" w:type="dxa"/>
            </w:tcMar>
          </w:tcPr>
          <w:p w14:paraId="72BCD56F" w14:textId="77777777" w:rsidR="005B2323" w:rsidRDefault="00CA77D5">
            <w:pPr>
              <w:spacing w:before="240" w:after="0" w:line="240" w:lineRule="auto"/>
              <w:rPr>
                <w:rFonts w:ascii="Times New Roman" w:eastAsia="Times New Roman" w:hAnsi="Times New Roman" w:cs="Times New Roman"/>
                <w:sz w:val="24"/>
                <w:szCs w:val="24"/>
              </w:rPr>
            </w:pPr>
            <w:r>
              <w:rPr>
                <w:rFonts w:ascii="Arial" w:eastAsia="Arial" w:hAnsi="Arial" w:cs="Arial"/>
                <w:color w:val="000000"/>
              </w:rPr>
              <w:t>Press Contact:</w:t>
            </w:r>
          </w:p>
        </w:tc>
        <w:tc>
          <w:tcPr>
            <w:tcW w:w="2098" w:type="dxa"/>
            <w:shd w:val="clear" w:color="auto" w:fill="FFFFFF"/>
            <w:tcMar>
              <w:top w:w="20" w:type="dxa"/>
              <w:left w:w="20" w:type="dxa"/>
              <w:bottom w:w="20" w:type="dxa"/>
              <w:right w:w="20" w:type="dxa"/>
            </w:tcMar>
          </w:tcPr>
          <w:p w14:paraId="5154E6E7" w14:textId="77777777" w:rsidR="005B2323" w:rsidRDefault="00CA77D5">
            <w:pPr>
              <w:spacing w:before="240" w:after="0" w:line="240" w:lineRule="auto"/>
              <w:rPr>
                <w:rFonts w:ascii="Times New Roman" w:eastAsia="Times New Roman" w:hAnsi="Times New Roman" w:cs="Times New Roman"/>
                <w:sz w:val="24"/>
                <w:szCs w:val="24"/>
              </w:rPr>
            </w:pPr>
            <w:r>
              <w:rPr>
                <w:rFonts w:ascii="Arial" w:eastAsia="Arial" w:hAnsi="Arial" w:cs="Arial"/>
                <w:color w:val="000000"/>
              </w:rPr>
              <w:t>Ivy Lee</w:t>
            </w:r>
          </w:p>
        </w:tc>
      </w:tr>
      <w:tr w:rsidR="005B2323" w14:paraId="36D27229" w14:textId="77777777">
        <w:trPr>
          <w:trHeight w:val="300"/>
        </w:trPr>
        <w:tc>
          <w:tcPr>
            <w:tcW w:w="1483" w:type="dxa"/>
            <w:shd w:val="clear" w:color="auto" w:fill="FFFFFF"/>
            <w:tcMar>
              <w:top w:w="20" w:type="dxa"/>
              <w:left w:w="20" w:type="dxa"/>
              <w:bottom w:w="20" w:type="dxa"/>
              <w:right w:w="20" w:type="dxa"/>
            </w:tcMar>
          </w:tcPr>
          <w:p w14:paraId="2CD8DA82" w14:textId="77777777" w:rsidR="005B2323" w:rsidRDefault="00CA77D5">
            <w:pPr>
              <w:spacing w:before="240" w:after="0" w:line="240" w:lineRule="auto"/>
              <w:rPr>
                <w:rFonts w:ascii="Times New Roman" w:eastAsia="Times New Roman" w:hAnsi="Times New Roman" w:cs="Times New Roman"/>
                <w:sz w:val="24"/>
                <w:szCs w:val="24"/>
              </w:rPr>
            </w:pPr>
            <w:r>
              <w:rPr>
                <w:rFonts w:ascii="Arial" w:eastAsia="Arial" w:hAnsi="Arial" w:cs="Arial"/>
                <w:color w:val="000000"/>
              </w:rPr>
              <w:t> </w:t>
            </w:r>
          </w:p>
        </w:tc>
        <w:tc>
          <w:tcPr>
            <w:tcW w:w="2098" w:type="dxa"/>
            <w:shd w:val="clear" w:color="auto" w:fill="FFFFFF"/>
            <w:tcMar>
              <w:top w:w="20" w:type="dxa"/>
              <w:left w:w="20" w:type="dxa"/>
              <w:bottom w:w="20" w:type="dxa"/>
              <w:right w:w="20" w:type="dxa"/>
            </w:tcMar>
          </w:tcPr>
          <w:p w14:paraId="164381AC" w14:textId="77777777" w:rsidR="005B2323" w:rsidRDefault="00CA77D5">
            <w:pPr>
              <w:spacing w:before="240" w:after="0" w:line="240" w:lineRule="auto"/>
              <w:rPr>
                <w:rFonts w:ascii="Times New Roman" w:eastAsia="Times New Roman" w:hAnsi="Times New Roman" w:cs="Times New Roman"/>
                <w:sz w:val="24"/>
                <w:szCs w:val="24"/>
              </w:rPr>
            </w:pPr>
            <w:r>
              <w:rPr>
                <w:rFonts w:ascii="Arial" w:eastAsia="Arial" w:hAnsi="Arial" w:cs="Arial"/>
                <w:color w:val="000000"/>
              </w:rPr>
              <w:t>VP of Marketing</w:t>
            </w:r>
          </w:p>
        </w:tc>
      </w:tr>
      <w:tr w:rsidR="005B2323" w14:paraId="1E30D803" w14:textId="77777777">
        <w:trPr>
          <w:trHeight w:val="300"/>
        </w:trPr>
        <w:tc>
          <w:tcPr>
            <w:tcW w:w="1483" w:type="dxa"/>
            <w:shd w:val="clear" w:color="auto" w:fill="FFFFFF"/>
            <w:tcMar>
              <w:top w:w="20" w:type="dxa"/>
              <w:left w:w="20" w:type="dxa"/>
              <w:bottom w:w="20" w:type="dxa"/>
              <w:right w:w="20" w:type="dxa"/>
            </w:tcMar>
          </w:tcPr>
          <w:p w14:paraId="42725E18" w14:textId="77777777" w:rsidR="005B2323" w:rsidRDefault="00CA77D5">
            <w:pPr>
              <w:spacing w:before="240" w:after="0" w:line="240" w:lineRule="auto"/>
              <w:rPr>
                <w:rFonts w:ascii="Times New Roman" w:eastAsia="Times New Roman" w:hAnsi="Times New Roman" w:cs="Times New Roman"/>
                <w:sz w:val="24"/>
                <w:szCs w:val="24"/>
              </w:rPr>
            </w:pPr>
            <w:r>
              <w:rPr>
                <w:rFonts w:ascii="Arial" w:eastAsia="Arial" w:hAnsi="Arial" w:cs="Arial"/>
                <w:color w:val="000000"/>
              </w:rPr>
              <w:lastRenderedPageBreak/>
              <w:t> </w:t>
            </w:r>
          </w:p>
        </w:tc>
        <w:tc>
          <w:tcPr>
            <w:tcW w:w="2098" w:type="dxa"/>
            <w:shd w:val="clear" w:color="auto" w:fill="FFFFFF"/>
            <w:tcMar>
              <w:top w:w="20" w:type="dxa"/>
              <w:left w:w="20" w:type="dxa"/>
              <w:bottom w:w="20" w:type="dxa"/>
              <w:right w:w="20" w:type="dxa"/>
            </w:tcMar>
          </w:tcPr>
          <w:p w14:paraId="38909855" w14:textId="77777777" w:rsidR="005B2323" w:rsidRDefault="00CA77D5">
            <w:pPr>
              <w:spacing w:before="240" w:after="0" w:line="240" w:lineRule="auto"/>
              <w:rPr>
                <w:rFonts w:ascii="Times New Roman" w:eastAsia="Times New Roman" w:hAnsi="Times New Roman" w:cs="Times New Roman"/>
                <w:sz w:val="24"/>
                <w:szCs w:val="24"/>
              </w:rPr>
            </w:pPr>
            <w:r>
              <w:rPr>
                <w:rFonts w:ascii="Arial" w:eastAsia="Arial" w:hAnsi="Arial" w:cs="Arial"/>
                <w:color w:val="000000"/>
              </w:rPr>
              <w:t>ivy@getsensibill.com</w:t>
            </w:r>
          </w:p>
        </w:tc>
      </w:tr>
    </w:tbl>
    <w:p w14:paraId="52DBAA7A" w14:textId="77777777" w:rsidR="005B2323" w:rsidRDefault="005B2323"/>
    <w:sectPr w:rsidR="005B23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E4AD8"/>
    <w:multiLevelType w:val="multilevel"/>
    <w:tmpl w:val="1A580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23"/>
    <w:rsid w:val="004B47D7"/>
    <w:rsid w:val="005B2323"/>
    <w:rsid w:val="00CA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DE57"/>
  <w15:docId w15:val="{37560718-E40C-4356-B082-1B6747EF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5F40"/>
    <w:pPr>
      <w:ind w:left="720"/>
      <w:contextualSpacing/>
    </w:pPr>
  </w:style>
  <w:style w:type="paragraph" w:styleId="NormalWeb">
    <w:name w:val="Normal (Web)"/>
    <w:basedOn w:val="Normal"/>
    <w:uiPriority w:val="99"/>
    <w:semiHidden/>
    <w:unhideWhenUsed/>
    <w:rsid w:val="006F5F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5F40"/>
    <w:pPr>
      <w:spacing w:after="0" w:line="240" w:lineRule="auto"/>
    </w:pPr>
  </w:style>
  <w:style w:type="paragraph" w:customStyle="1" w:styleId="paragraph">
    <w:name w:val="paragraph"/>
    <w:basedOn w:val="Normal"/>
    <w:rsid w:val="006C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4B7"/>
  </w:style>
  <w:style w:type="character" w:customStyle="1" w:styleId="eop">
    <w:name w:val="eop"/>
    <w:basedOn w:val="DefaultParagraphFont"/>
    <w:rsid w:val="006C64B7"/>
  </w:style>
  <w:style w:type="character" w:styleId="CommentReference">
    <w:name w:val="annotation reference"/>
    <w:basedOn w:val="DefaultParagraphFont"/>
    <w:uiPriority w:val="99"/>
    <w:semiHidden/>
    <w:unhideWhenUsed/>
    <w:rsid w:val="00852434"/>
    <w:rPr>
      <w:sz w:val="16"/>
      <w:szCs w:val="16"/>
    </w:rPr>
  </w:style>
  <w:style w:type="paragraph" w:styleId="CommentText">
    <w:name w:val="annotation text"/>
    <w:basedOn w:val="Normal"/>
    <w:link w:val="CommentTextChar"/>
    <w:uiPriority w:val="99"/>
    <w:semiHidden/>
    <w:unhideWhenUsed/>
    <w:rsid w:val="00852434"/>
    <w:pPr>
      <w:spacing w:line="240" w:lineRule="auto"/>
    </w:pPr>
    <w:rPr>
      <w:sz w:val="20"/>
      <w:szCs w:val="20"/>
    </w:rPr>
  </w:style>
  <w:style w:type="character" w:customStyle="1" w:styleId="CommentTextChar">
    <w:name w:val="Comment Text Char"/>
    <w:basedOn w:val="DefaultParagraphFont"/>
    <w:link w:val="CommentText"/>
    <w:uiPriority w:val="99"/>
    <w:semiHidden/>
    <w:rsid w:val="00852434"/>
    <w:rPr>
      <w:sz w:val="20"/>
      <w:szCs w:val="20"/>
    </w:rPr>
  </w:style>
  <w:style w:type="paragraph" w:styleId="CommentSubject">
    <w:name w:val="annotation subject"/>
    <w:basedOn w:val="CommentText"/>
    <w:next w:val="CommentText"/>
    <w:link w:val="CommentSubjectChar"/>
    <w:uiPriority w:val="99"/>
    <w:semiHidden/>
    <w:unhideWhenUsed/>
    <w:rsid w:val="00852434"/>
    <w:rPr>
      <w:b/>
      <w:bCs/>
    </w:rPr>
  </w:style>
  <w:style w:type="character" w:customStyle="1" w:styleId="CommentSubjectChar">
    <w:name w:val="Comment Subject Char"/>
    <w:basedOn w:val="CommentTextChar"/>
    <w:link w:val="CommentSubject"/>
    <w:uiPriority w:val="99"/>
    <w:semiHidden/>
    <w:rsid w:val="0085243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etsensibill.com/barcode?utm_source=march-2021-press-release&amp;utm_medium=pr&amp;utm_campaign=barcode-campaign" TargetMode="External"/><Relationship Id="rId3" Type="http://schemas.openxmlformats.org/officeDocument/2006/relationships/styles" Target="styles.xml"/><Relationship Id="rId7" Type="http://schemas.openxmlformats.org/officeDocument/2006/relationships/hyperlink" Target="https://getsensibil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sensibil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tsensibill.com/" TargetMode="External"/><Relationship Id="rId4" Type="http://schemas.openxmlformats.org/officeDocument/2006/relationships/settings" Target="settings.xml"/><Relationship Id="rId9" Type="http://schemas.openxmlformats.org/officeDocument/2006/relationships/hyperlink" Target="http://getsensi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ZXa8gadqZ0yobkGj0r6hCpLYw==">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Bush</dc:creator>
  <cp:lastModifiedBy>Samantha Wheeler</cp:lastModifiedBy>
  <cp:revision>2</cp:revision>
  <dcterms:created xsi:type="dcterms:W3CDTF">2021-03-04T14:06:00Z</dcterms:created>
  <dcterms:modified xsi:type="dcterms:W3CDTF">2021-03-04T14:06:00Z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