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B7" w:rsidRDefault="00EB3457" w:rsidP="00CD6BB7">
      <w:pPr>
        <w:spacing w:before="120" w:after="0"/>
        <w:rPr>
          <w:rFonts w:cstheme="minorHAnsi"/>
          <w:b/>
          <w:w w:val="105"/>
          <w:sz w:val="23"/>
          <w:szCs w:val="23"/>
        </w:rPr>
      </w:pPr>
      <w:r w:rsidRPr="00C65303">
        <w:rPr>
          <w:rFonts w:cstheme="minorHAnsi"/>
          <w:b/>
          <w:w w:val="105"/>
          <w:sz w:val="23"/>
          <w:szCs w:val="23"/>
        </w:rPr>
        <w:br/>
      </w:r>
      <w:r w:rsidRPr="00C65303">
        <w:rPr>
          <w:rFonts w:cstheme="minorHAnsi"/>
          <w:b/>
          <w:w w:val="105"/>
          <w:sz w:val="23"/>
          <w:szCs w:val="23"/>
        </w:rPr>
        <w:br/>
      </w:r>
      <w:r w:rsidRPr="00C65303">
        <w:rPr>
          <w:rFonts w:cstheme="minorHAnsi"/>
          <w:b/>
          <w:w w:val="105"/>
          <w:sz w:val="23"/>
          <w:szCs w:val="23"/>
        </w:rPr>
        <w:br/>
        <w:t>FOR</w:t>
      </w:r>
      <w:r w:rsidRPr="00C65303">
        <w:rPr>
          <w:rFonts w:cstheme="minorHAnsi"/>
          <w:b/>
          <w:spacing w:val="14"/>
          <w:w w:val="105"/>
          <w:sz w:val="23"/>
          <w:szCs w:val="23"/>
        </w:rPr>
        <w:t xml:space="preserve"> </w:t>
      </w:r>
      <w:r w:rsidRPr="00C65303">
        <w:rPr>
          <w:rFonts w:cstheme="minorHAnsi"/>
          <w:b/>
          <w:spacing w:val="-2"/>
          <w:w w:val="105"/>
          <w:sz w:val="23"/>
          <w:szCs w:val="23"/>
        </w:rPr>
        <w:t>IMMEDIATE</w:t>
      </w:r>
      <w:r w:rsidRPr="00C65303">
        <w:rPr>
          <w:rFonts w:cstheme="minorHAnsi"/>
          <w:b/>
          <w:spacing w:val="15"/>
          <w:w w:val="105"/>
          <w:sz w:val="23"/>
          <w:szCs w:val="23"/>
        </w:rPr>
        <w:t xml:space="preserve"> </w:t>
      </w:r>
      <w:r w:rsidRPr="00C65303">
        <w:rPr>
          <w:rFonts w:cstheme="minorHAnsi"/>
          <w:b/>
          <w:w w:val="105"/>
          <w:sz w:val="23"/>
          <w:szCs w:val="23"/>
        </w:rPr>
        <w:t>RELEASE</w:t>
      </w:r>
      <w:r w:rsidRPr="00C65303">
        <w:rPr>
          <w:rFonts w:cstheme="minorHAnsi"/>
          <w:b/>
          <w:w w:val="105"/>
          <w:sz w:val="23"/>
          <w:szCs w:val="23"/>
        </w:rPr>
        <w:br/>
      </w:r>
      <w:r w:rsidRPr="00C65303">
        <w:rPr>
          <w:rFonts w:cstheme="minorHAnsi"/>
          <w:spacing w:val="-1"/>
          <w:sz w:val="23"/>
          <w:szCs w:val="23"/>
        </w:rPr>
        <w:t>Contact: Heath</w:t>
      </w:r>
      <w:r w:rsidRPr="00C65303">
        <w:rPr>
          <w:rFonts w:cstheme="minorHAnsi"/>
          <w:sz w:val="23"/>
          <w:szCs w:val="23"/>
        </w:rPr>
        <w:t xml:space="preserve"> </w:t>
      </w:r>
      <w:r w:rsidRPr="00C65303">
        <w:rPr>
          <w:rFonts w:cstheme="minorHAnsi"/>
          <w:spacing w:val="-1"/>
          <w:sz w:val="23"/>
          <w:szCs w:val="23"/>
        </w:rPr>
        <w:t>Combs</w:t>
      </w:r>
      <w:hyperlink r:id="rId7" w:history="1">
        <w:r w:rsidRPr="00C65303">
          <w:rPr>
            <w:rStyle w:val="Hyperlink"/>
            <w:rFonts w:cstheme="minorHAnsi"/>
            <w:spacing w:val="21"/>
            <w:sz w:val="23"/>
            <w:szCs w:val="23"/>
          </w:rPr>
          <w:t xml:space="preserve"> </w:t>
        </w:r>
        <w:r w:rsidRPr="00C65303">
          <w:rPr>
            <w:rFonts w:cstheme="minorHAnsi"/>
            <w:spacing w:val="21"/>
            <w:sz w:val="23"/>
            <w:szCs w:val="23"/>
            <w:u w:val="single"/>
          </w:rPr>
          <w:br/>
        </w:r>
        <w:r w:rsidRPr="00C65303">
          <w:rPr>
            <w:rStyle w:val="Hyperlink"/>
            <w:rFonts w:cstheme="minorHAnsi"/>
            <w:spacing w:val="-1"/>
            <w:sz w:val="23"/>
            <w:szCs w:val="23"/>
          </w:rPr>
          <w:t>heath.combs@truliantfcu.org</w:t>
        </w:r>
      </w:hyperlink>
      <w:r w:rsidRPr="00C65303">
        <w:rPr>
          <w:rFonts w:cstheme="minorHAnsi"/>
          <w:color w:val="0563C1" w:themeColor="hyperlink"/>
          <w:spacing w:val="-1"/>
          <w:sz w:val="23"/>
          <w:szCs w:val="23"/>
          <w:u w:val="single"/>
        </w:rPr>
        <w:br/>
      </w:r>
      <w:r w:rsidRPr="00C65303">
        <w:rPr>
          <w:rFonts w:cstheme="minorHAnsi"/>
          <w:sz w:val="23"/>
          <w:szCs w:val="23"/>
        </w:rPr>
        <w:t>(o)</w:t>
      </w:r>
      <w:r w:rsidRPr="00C65303">
        <w:rPr>
          <w:rFonts w:cstheme="minorHAnsi"/>
          <w:spacing w:val="-1"/>
          <w:sz w:val="23"/>
          <w:szCs w:val="23"/>
        </w:rPr>
        <w:t xml:space="preserve"> 336.293.2054</w:t>
      </w:r>
      <w:r w:rsidRPr="00C65303">
        <w:rPr>
          <w:rFonts w:cstheme="minorHAnsi"/>
          <w:sz w:val="23"/>
          <w:szCs w:val="23"/>
        </w:rPr>
        <w:t xml:space="preserve"> (c) </w:t>
      </w:r>
      <w:r w:rsidRPr="00C65303">
        <w:rPr>
          <w:rFonts w:cstheme="minorHAnsi"/>
          <w:spacing w:val="-1"/>
          <w:sz w:val="23"/>
          <w:szCs w:val="23"/>
        </w:rPr>
        <w:t>336.442.5736</w:t>
      </w:r>
      <w:r w:rsidRPr="00C65303">
        <w:rPr>
          <w:rFonts w:cstheme="minorHAnsi"/>
          <w:b/>
          <w:w w:val="105"/>
          <w:sz w:val="23"/>
          <w:szCs w:val="23"/>
        </w:rPr>
        <w:br/>
      </w:r>
    </w:p>
    <w:p w:rsidR="00CD6BB7" w:rsidRDefault="00CD6BB7" w:rsidP="00CD6BB7">
      <w:pPr>
        <w:spacing w:before="120" w:after="0"/>
        <w:jc w:val="center"/>
        <w:rPr>
          <w:rFonts w:cstheme="minorHAnsi"/>
          <w:b/>
          <w:w w:val="105"/>
          <w:sz w:val="23"/>
          <w:szCs w:val="23"/>
        </w:rPr>
      </w:pPr>
      <w:r>
        <w:rPr>
          <w:rFonts w:cstheme="minorHAnsi"/>
          <w:b/>
          <w:w w:val="105"/>
          <w:sz w:val="23"/>
          <w:szCs w:val="23"/>
        </w:rPr>
        <w:t>Truliant is First N.C.</w:t>
      </w:r>
      <w:r w:rsidRPr="00CD6BB7">
        <w:rPr>
          <w:rFonts w:cstheme="minorHAnsi"/>
          <w:b/>
          <w:w w:val="105"/>
          <w:sz w:val="23"/>
          <w:szCs w:val="23"/>
        </w:rPr>
        <w:t>-based Financial Institution to Complete Fully Digital and Fu</w:t>
      </w:r>
      <w:r>
        <w:rPr>
          <w:rFonts w:cstheme="minorHAnsi"/>
          <w:b/>
          <w:w w:val="105"/>
          <w:sz w:val="23"/>
          <w:szCs w:val="23"/>
        </w:rPr>
        <w:t>lly Remote Home Mortgage Closing</w:t>
      </w:r>
    </w:p>
    <w:p w:rsidR="00825FD3" w:rsidRDefault="00EB3457" w:rsidP="00CD6BB7">
      <w:pPr>
        <w:spacing w:before="120" w:after="0"/>
        <w:rPr>
          <w:rFonts w:cstheme="minorHAnsi"/>
          <w:sz w:val="23"/>
          <w:szCs w:val="23"/>
        </w:rPr>
      </w:pPr>
      <w:r w:rsidRPr="00C65303">
        <w:rPr>
          <w:rFonts w:cstheme="minorHAnsi"/>
          <w:sz w:val="23"/>
          <w:szCs w:val="23"/>
        </w:rPr>
        <w:t>WINSTON-SALEM, N.C. (</w:t>
      </w:r>
      <w:r w:rsidR="00227DCD" w:rsidRPr="00C65303">
        <w:rPr>
          <w:rFonts w:cstheme="minorHAnsi"/>
          <w:sz w:val="23"/>
          <w:szCs w:val="23"/>
        </w:rPr>
        <w:t>December</w:t>
      </w:r>
      <w:r w:rsidR="00705A95">
        <w:rPr>
          <w:rFonts w:cstheme="minorHAnsi"/>
          <w:sz w:val="23"/>
          <w:szCs w:val="23"/>
        </w:rPr>
        <w:t xml:space="preserve"> 14</w:t>
      </w:r>
      <w:r w:rsidRPr="00C65303">
        <w:rPr>
          <w:rFonts w:cstheme="minorHAnsi"/>
          <w:sz w:val="23"/>
          <w:szCs w:val="23"/>
        </w:rPr>
        <w:t xml:space="preserve">, 2021) – </w:t>
      </w:r>
      <w:r w:rsidR="00825FD3" w:rsidRPr="00825FD3">
        <w:rPr>
          <w:rFonts w:cstheme="minorHAnsi"/>
          <w:sz w:val="23"/>
          <w:szCs w:val="23"/>
        </w:rPr>
        <w:t xml:space="preserve">North Carolina Secretary of State Elaine F. Marshall and Truliant Federal Credit Union announced today that Truliant has become the first North Carolina-based financial institution to complete a fully digital and fully remote electronic mortgage closing, or eClosing. </w:t>
      </w:r>
    </w:p>
    <w:p w:rsidR="00CD6BB7" w:rsidRDefault="00825FD3" w:rsidP="00CD6BB7">
      <w:pPr>
        <w:spacing w:before="120" w:after="0"/>
        <w:rPr>
          <w:rFonts w:cstheme="minorHAnsi"/>
          <w:sz w:val="23"/>
          <w:szCs w:val="23"/>
        </w:rPr>
      </w:pPr>
      <w:r w:rsidRPr="00825FD3">
        <w:rPr>
          <w:rFonts w:cstheme="minorHAnsi"/>
          <w:sz w:val="23"/>
          <w:szCs w:val="23"/>
        </w:rPr>
        <w:t xml:space="preserve">The transaction included a paperless mortgage eClosing </w:t>
      </w:r>
      <w:proofErr w:type="gramStart"/>
      <w:r w:rsidRPr="00825FD3">
        <w:rPr>
          <w:rFonts w:cstheme="minorHAnsi"/>
          <w:sz w:val="23"/>
          <w:szCs w:val="23"/>
        </w:rPr>
        <w:t>and also</w:t>
      </w:r>
      <w:proofErr w:type="gramEnd"/>
      <w:r w:rsidRPr="00825FD3">
        <w:rPr>
          <w:rFonts w:cstheme="minorHAnsi"/>
          <w:sz w:val="23"/>
          <w:szCs w:val="23"/>
        </w:rPr>
        <w:t xml:space="preserve"> used the state’s temporary Emergency Video Notarization law.</w:t>
      </w:r>
    </w:p>
    <w:p w:rsidR="00CD6BB7" w:rsidRDefault="00736E48" w:rsidP="00CD6BB7">
      <w:pPr>
        <w:spacing w:before="120" w:after="0"/>
        <w:rPr>
          <w:rFonts w:cstheme="minorHAnsi"/>
          <w:sz w:val="23"/>
          <w:szCs w:val="23"/>
        </w:rPr>
      </w:pPr>
      <w:r>
        <w:rPr>
          <w:rFonts w:cstheme="minorHAnsi"/>
          <w:sz w:val="23"/>
          <w:szCs w:val="23"/>
        </w:rPr>
        <w:t xml:space="preserve">It was the first North Carolina </w:t>
      </w:r>
      <w:r w:rsidR="00305FBA">
        <w:rPr>
          <w:rFonts w:cstheme="minorHAnsi"/>
          <w:sz w:val="23"/>
          <w:szCs w:val="23"/>
        </w:rPr>
        <w:t xml:space="preserve">eClosing </w:t>
      </w:r>
      <w:r w:rsidR="002F6CA4">
        <w:rPr>
          <w:rFonts w:cstheme="minorHAnsi"/>
          <w:sz w:val="23"/>
          <w:szCs w:val="23"/>
        </w:rPr>
        <w:t>in</w:t>
      </w:r>
      <w:r>
        <w:rPr>
          <w:rFonts w:cstheme="minorHAnsi"/>
          <w:sz w:val="23"/>
          <w:szCs w:val="23"/>
        </w:rPr>
        <w:t xml:space="preserve"> </w:t>
      </w:r>
      <w:r w:rsidR="002F6CA4">
        <w:rPr>
          <w:rFonts w:cstheme="minorHAnsi"/>
          <w:sz w:val="23"/>
          <w:szCs w:val="23"/>
        </w:rPr>
        <w:t xml:space="preserve">which </w:t>
      </w:r>
      <w:r>
        <w:rPr>
          <w:rFonts w:cstheme="minorHAnsi"/>
          <w:sz w:val="23"/>
          <w:szCs w:val="23"/>
        </w:rPr>
        <w:t>the buyer,</w:t>
      </w:r>
      <w:r w:rsidR="00227DCD" w:rsidRPr="00C65303">
        <w:rPr>
          <w:rFonts w:cstheme="minorHAnsi"/>
          <w:sz w:val="23"/>
          <w:szCs w:val="23"/>
        </w:rPr>
        <w:t xml:space="preserve"> </w:t>
      </w:r>
      <w:r w:rsidR="00E22AA8" w:rsidRPr="00C65303">
        <w:rPr>
          <w:rFonts w:cstheme="minorHAnsi"/>
          <w:sz w:val="23"/>
          <w:szCs w:val="23"/>
        </w:rPr>
        <w:t>n</w:t>
      </w:r>
      <w:r w:rsidR="00227DCD" w:rsidRPr="00C65303">
        <w:rPr>
          <w:rFonts w:cstheme="minorHAnsi"/>
          <w:sz w:val="23"/>
          <w:szCs w:val="23"/>
        </w:rPr>
        <w:t>otary and attorney</w:t>
      </w:r>
      <w:r>
        <w:rPr>
          <w:rFonts w:cstheme="minorHAnsi"/>
          <w:sz w:val="23"/>
          <w:szCs w:val="23"/>
        </w:rPr>
        <w:t xml:space="preserve"> were each </w:t>
      </w:r>
      <w:r w:rsidRPr="00C65303">
        <w:rPr>
          <w:rFonts w:cstheme="minorHAnsi"/>
          <w:sz w:val="23"/>
          <w:szCs w:val="23"/>
        </w:rPr>
        <w:t>in different physical location</w:t>
      </w:r>
      <w:r>
        <w:rPr>
          <w:rFonts w:cstheme="minorHAnsi"/>
          <w:sz w:val="23"/>
          <w:szCs w:val="23"/>
        </w:rPr>
        <w:t xml:space="preserve">s. </w:t>
      </w:r>
      <w:r w:rsidR="00305FBA">
        <w:rPr>
          <w:rFonts w:cstheme="minorHAnsi"/>
          <w:sz w:val="23"/>
          <w:szCs w:val="23"/>
        </w:rPr>
        <w:t>Previously</w:t>
      </w:r>
      <w:r w:rsidR="00E05B84">
        <w:rPr>
          <w:rFonts w:cstheme="minorHAnsi"/>
          <w:sz w:val="23"/>
          <w:szCs w:val="23"/>
        </w:rPr>
        <w:t>, N.C.</w:t>
      </w:r>
      <w:r>
        <w:rPr>
          <w:rFonts w:cstheme="minorHAnsi"/>
          <w:sz w:val="23"/>
          <w:szCs w:val="23"/>
        </w:rPr>
        <w:t xml:space="preserve"> notaries were </w:t>
      </w:r>
      <w:r w:rsidR="00305FBA">
        <w:rPr>
          <w:rFonts w:cstheme="minorHAnsi"/>
          <w:sz w:val="23"/>
          <w:szCs w:val="23"/>
        </w:rPr>
        <w:t>required to</w:t>
      </w:r>
      <w:r>
        <w:rPr>
          <w:rFonts w:cstheme="minorHAnsi"/>
          <w:sz w:val="23"/>
          <w:szCs w:val="23"/>
        </w:rPr>
        <w:t xml:space="preserve"> </w:t>
      </w:r>
      <w:r w:rsidR="002F6CA4">
        <w:rPr>
          <w:rFonts w:cstheme="minorHAnsi"/>
          <w:sz w:val="23"/>
          <w:szCs w:val="23"/>
        </w:rPr>
        <w:t xml:space="preserve">provide final “wet ink” signatures in person </w:t>
      </w:r>
      <w:r>
        <w:rPr>
          <w:rFonts w:cstheme="minorHAnsi"/>
          <w:sz w:val="23"/>
          <w:szCs w:val="23"/>
        </w:rPr>
        <w:t>with home</w:t>
      </w:r>
      <w:r w:rsidR="002F6CA4">
        <w:rPr>
          <w:rFonts w:cstheme="minorHAnsi"/>
          <w:sz w:val="23"/>
          <w:szCs w:val="23"/>
        </w:rPr>
        <w:t>buyers</w:t>
      </w:r>
      <w:r>
        <w:rPr>
          <w:rFonts w:cstheme="minorHAnsi"/>
          <w:sz w:val="23"/>
          <w:szCs w:val="23"/>
        </w:rPr>
        <w:t xml:space="preserve">. </w:t>
      </w:r>
      <w:r w:rsidR="005763F6">
        <w:rPr>
          <w:rFonts w:cstheme="minorHAnsi"/>
          <w:sz w:val="23"/>
          <w:szCs w:val="23"/>
        </w:rPr>
        <w:t>A</w:t>
      </w:r>
      <w:r w:rsidR="005763F6" w:rsidRPr="00C65303">
        <w:rPr>
          <w:rFonts w:cstheme="minorHAnsi"/>
          <w:sz w:val="23"/>
          <w:szCs w:val="23"/>
        </w:rPr>
        <w:t xml:space="preserve"> </w:t>
      </w:r>
      <w:r w:rsidR="005763F6">
        <w:rPr>
          <w:rFonts w:cstheme="minorHAnsi"/>
          <w:sz w:val="23"/>
          <w:szCs w:val="23"/>
        </w:rPr>
        <w:t>King, N.C. homebuyer completed the eClosing with Truliant in Winston-Salem and a notary in Charlotte</w:t>
      </w:r>
      <w:r w:rsidR="0092290B">
        <w:rPr>
          <w:rFonts w:cstheme="minorHAnsi"/>
          <w:sz w:val="23"/>
          <w:szCs w:val="23"/>
        </w:rPr>
        <w:t xml:space="preserve"> using the state’s Emergency Video Notarization Law</w:t>
      </w:r>
      <w:r w:rsidR="005763F6">
        <w:rPr>
          <w:rFonts w:cstheme="minorHAnsi"/>
          <w:sz w:val="23"/>
          <w:szCs w:val="23"/>
        </w:rPr>
        <w:t xml:space="preserve">. </w:t>
      </w:r>
      <w:r w:rsidR="002F6CA4">
        <w:rPr>
          <w:rFonts w:cstheme="minorHAnsi"/>
          <w:color w:val="000000"/>
          <w:sz w:val="23"/>
          <w:szCs w:val="23"/>
        </w:rPr>
        <w:t xml:space="preserve">The </w:t>
      </w:r>
      <w:r w:rsidR="002F47D1">
        <w:rPr>
          <w:rFonts w:cstheme="minorHAnsi"/>
          <w:sz w:val="23"/>
          <w:szCs w:val="23"/>
        </w:rPr>
        <w:t xml:space="preserve">electronically notarized </w:t>
      </w:r>
      <w:r w:rsidR="002F6CA4" w:rsidRPr="002F6CA4">
        <w:rPr>
          <w:rFonts w:cstheme="minorHAnsi"/>
          <w:sz w:val="23"/>
          <w:szCs w:val="23"/>
        </w:rPr>
        <w:t>documents</w:t>
      </w:r>
      <w:r w:rsidR="002F6CA4">
        <w:rPr>
          <w:rFonts w:cstheme="minorHAnsi"/>
          <w:sz w:val="23"/>
          <w:szCs w:val="23"/>
        </w:rPr>
        <w:t xml:space="preserve"> were accepted </w:t>
      </w:r>
      <w:r w:rsidR="0085083A">
        <w:rPr>
          <w:rFonts w:cstheme="minorHAnsi"/>
          <w:sz w:val="23"/>
          <w:szCs w:val="23"/>
        </w:rPr>
        <w:t xml:space="preserve">by the Stokes County Register </w:t>
      </w:r>
      <w:r w:rsidR="002F6CA4">
        <w:rPr>
          <w:rFonts w:cstheme="minorHAnsi"/>
          <w:sz w:val="23"/>
          <w:szCs w:val="23"/>
        </w:rPr>
        <w:t xml:space="preserve">of Deeds. </w:t>
      </w:r>
    </w:p>
    <w:p w:rsidR="00CD6BB7" w:rsidRDefault="0019674D" w:rsidP="00CD6BB7">
      <w:pPr>
        <w:spacing w:before="120" w:after="0"/>
        <w:rPr>
          <w:rFonts w:cstheme="minorHAnsi"/>
          <w:sz w:val="23"/>
          <w:szCs w:val="23"/>
        </w:rPr>
      </w:pPr>
      <w:r>
        <w:rPr>
          <w:rFonts w:cstheme="minorHAnsi"/>
          <w:sz w:val="23"/>
          <w:szCs w:val="23"/>
        </w:rPr>
        <w:t>“The desire to achieve home-ownership remains high. As a leader in the eClosings space, Truliant is proud to continue pioneering greater convenience in the mortgage process,” said Todd Hall, President and CEO. “With another year of high demand expected in 2022, eClosings allow our members to more easily navigate the complexities of home buying, fulfilling their personal dreams and creating thriving communities.”</w:t>
      </w:r>
      <w:r w:rsidR="00CD6BB7">
        <w:rPr>
          <w:rFonts w:cstheme="minorHAnsi"/>
          <w:sz w:val="23"/>
          <w:szCs w:val="23"/>
        </w:rPr>
        <w:t xml:space="preserve"> </w:t>
      </w:r>
    </w:p>
    <w:p w:rsidR="00CD6BB7" w:rsidRDefault="00227DCD" w:rsidP="00CD6BB7">
      <w:pPr>
        <w:spacing w:before="120" w:after="0"/>
        <w:rPr>
          <w:rFonts w:cstheme="minorHAnsi"/>
          <w:sz w:val="23"/>
          <w:szCs w:val="23"/>
        </w:rPr>
      </w:pPr>
      <w:r w:rsidRPr="00C65303">
        <w:rPr>
          <w:rFonts w:cstheme="minorHAnsi"/>
          <w:color w:val="000000"/>
          <w:sz w:val="23"/>
          <w:szCs w:val="23"/>
        </w:rPr>
        <w:t>North Carolina adopted</w:t>
      </w:r>
      <w:r w:rsidR="0092290B">
        <w:rPr>
          <w:rFonts w:cstheme="minorHAnsi"/>
          <w:color w:val="000000"/>
          <w:sz w:val="23"/>
          <w:szCs w:val="23"/>
        </w:rPr>
        <w:t xml:space="preserve"> the</w:t>
      </w:r>
      <w:r w:rsidR="00676FB2">
        <w:rPr>
          <w:rFonts w:cstheme="minorHAnsi"/>
          <w:color w:val="000000"/>
          <w:sz w:val="23"/>
          <w:szCs w:val="23"/>
        </w:rPr>
        <w:t xml:space="preserve"> temporary Emergency Video Notarization</w:t>
      </w:r>
      <w:r w:rsidR="0092290B">
        <w:rPr>
          <w:rFonts w:cstheme="minorHAnsi"/>
          <w:color w:val="000000"/>
          <w:sz w:val="23"/>
          <w:szCs w:val="23"/>
        </w:rPr>
        <w:t xml:space="preserve"> law </w:t>
      </w:r>
      <w:r w:rsidR="00676FB2">
        <w:rPr>
          <w:rFonts w:cstheme="minorHAnsi"/>
          <w:color w:val="000000"/>
          <w:sz w:val="23"/>
          <w:szCs w:val="23"/>
        </w:rPr>
        <w:t xml:space="preserve">in 2020 in response to the coronavirus pandemic which enabled remote online notarization (RON). </w:t>
      </w:r>
      <w:r w:rsidR="004B4F86">
        <w:rPr>
          <w:rFonts w:cstheme="minorHAnsi"/>
          <w:sz w:val="23"/>
          <w:szCs w:val="23"/>
        </w:rPr>
        <w:t xml:space="preserve"> Previously,</w:t>
      </w:r>
      <w:r w:rsidR="005763F6">
        <w:rPr>
          <w:rFonts w:cstheme="minorHAnsi"/>
          <w:sz w:val="23"/>
          <w:szCs w:val="23"/>
        </w:rPr>
        <w:t xml:space="preserve"> </w:t>
      </w:r>
      <w:r w:rsidR="008012D3">
        <w:rPr>
          <w:rFonts w:cstheme="minorHAnsi"/>
          <w:sz w:val="23"/>
          <w:szCs w:val="23"/>
        </w:rPr>
        <w:t>eN</w:t>
      </w:r>
      <w:r w:rsidRPr="00C65303">
        <w:rPr>
          <w:rFonts w:cstheme="minorHAnsi"/>
          <w:sz w:val="23"/>
          <w:szCs w:val="23"/>
        </w:rPr>
        <w:t>otaries were</w:t>
      </w:r>
      <w:r w:rsidR="00736E48">
        <w:rPr>
          <w:rFonts w:cstheme="minorHAnsi"/>
          <w:sz w:val="23"/>
          <w:szCs w:val="23"/>
        </w:rPr>
        <w:t xml:space="preserve"> required to be present when eC</w:t>
      </w:r>
      <w:r w:rsidRPr="00C65303">
        <w:rPr>
          <w:rFonts w:cstheme="minorHAnsi"/>
          <w:sz w:val="23"/>
          <w:szCs w:val="23"/>
        </w:rPr>
        <w:t>losing documents were signed. The state has not enacted a permanent RON law, but</w:t>
      </w:r>
      <w:r w:rsidR="00676FB2">
        <w:rPr>
          <w:rFonts w:cstheme="minorHAnsi"/>
          <w:sz w:val="23"/>
          <w:szCs w:val="23"/>
        </w:rPr>
        <w:t xml:space="preserve"> one is currently under consideration by the General Assembly</w:t>
      </w:r>
      <w:r w:rsidR="00B6309C">
        <w:rPr>
          <w:rFonts w:cstheme="minorHAnsi"/>
          <w:sz w:val="23"/>
          <w:szCs w:val="23"/>
        </w:rPr>
        <w:t>.</w:t>
      </w:r>
      <w:r w:rsidRPr="00C65303">
        <w:rPr>
          <w:rFonts w:cstheme="minorHAnsi"/>
          <w:sz w:val="23"/>
          <w:szCs w:val="23"/>
        </w:rPr>
        <w:t xml:space="preserve"> </w:t>
      </w:r>
    </w:p>
    <w:p w:rsidR="00CD6BB7" w:rsidRDefault="00CD6BB7" w:rsidP="00CD6BB7">
      <w:pPr>
        <w:spacing w:before="120" w:after="0"/>
        <w:rPr>
          <w:rFonts w:cstheme="minorHAnsi"/>
          <w:sz w:val="23"/>
          <w:szCs w:val="23"/>
        </w:rPr>
      </w:pPr>
      <w:r w:rsidRPr="00CD6BB7">
        <w:rPr>
          <w:rFonts w:cstheme="minorHAnsi"/>
          <w:sz w:val="23"/>
          <w:szCs w:val="23"/>
        </w:rPr>
        <w:t xml:space="preserve">“North Carolina is a national leader in eClosings which makes mortgage closings more efficient, secure, and convenient for the consumer, the financial institution, and all others involved in the home buying process,” </w:t>
      </w:r>
      <w:r w:rsidRPr="005F29D1">
        <w:rPr>
          <w:sz w:val="23"/>
          <w:szCs w:val="23"/>
        </w:rPr>
        <w:t xml:space="preserve">said </w:t>
      </w:r>
      <w:r w:rsidRPr="005F29D1">
        <w:rPr>
          <w:rFonts w:cstheme="minorHAnsi"/>
          <w:sz w:val="23"/>
          <w:szCs w:val="23"/>
        </w:rPr>
        <w:t>North Carolina’s Secretary of State, Elaine Marshall</w:t>
      </w:r>
      <w:r>
        <w:rPr>
          <w:rFonts w:cstheme="minorHAnsi"/>
          <w:sz w:val="23"/>
          <w:szCs w:val="23"/>
        </w:rPr>
        <w:t xml:space="preserve">. </w:t>
      </w:r>
      <w:r w:rsidRPr="00CD6BB7">
        <w:rPr>
          <w:rFonts w:cstheme="minorHAnsi"/>
          <w:sz w:val="23"/>
          <w:szCs w:val="23"/>
        </w:rPr>
        <w:t xml:space="preserve">“Now coupling mortgage eClosings with our Emergency Video Notarization law makes it even more convenient and safer during this global pandemic. These innovative tools give North Carolina a competitive advantage in helping our consumers.” </w:t>
      </w:r>
    </w:p>
    <w:p w:rsidR="00C4425F" w:rsidRDefault="00227DCD" w:rsidP="00C4425F">
      <w:pPr>
        <w:spacing w:before="120" w:after="0"/>
        <w:rPr>
          <w:rFonts w:cstheme="minorHAnsi"/>
          <w:sz w:val="23"/>
          <w:szCs w:val="23"/>
        </w:rPr>
      </w:pPr>
      <w:r w:rsidRPr="00C65303">
        <w:rPr>
          <w:rFonts w:cstheme="minorHAnsi"/>
          <w:color w:val="000000"/>
          <w:sz w:val="23"/>
          <w:szCs w:val="23"/>
        </w:rPr>
        <w:lastRenderedPageBreak/>
        <w:t xml:space="preserve">In 2020, Truliant became the second North Carolina-based financial institution to be able to offer a fully electronic mortgage closing process. Eclosings – from mortgage applications to closing – significantly shorten the length of the mortgage process. No paper </w:t>
      </w:r>
      <w:r w:rsidR="00C96DA8" w:rsidRPr="00C65303">
        <w:rPr>
          <w:rFonts w:cstheme="minorHAnsi"/>
          <w:color w:val="000000"/>
          <w:sz w:val="23"/>
          <w:szCs w:val="23"/>
        </w:rPr>
        <w:t>is</w:t>
      </w:r>
      <w:r w:rsidRPr="00C65303">
        <w:rPr>
          <w:rFonts w:cstheme="minorHAnsi"/>
          <w:color w:val="000000"/>
          <w:sz w:val="23"/>
          <w:szCs w:val="23"/>
        </w:rPr>
        <w:t xml:space="preserve"> exchanged throughout the process.</w:t>
      </w:r>
      <w:r w:rsidR="00DF0DCA">
        <w:rPr>
          <w:rFonts w:cstheme="minorHAnsi"/>
          <w:color w:val="000000"/>
          <w:sz w:val="23"/>
          <w:szCs w:val="23"/>
        </w:rPr>
        <w:t xml:space="preserve"> The closing in this instance took 27 minutes from start to finish.</w:t>
      </w:r>
    </w:p>
    <w:p w:rsidR="00C4425F" w:rsidRDefault="00227DCD" w:rsidP="00C4425F">
      <w:pPr>
        <w:spacing w:before="120" w:after="0"/>
        <w:rPr>
          <w:rFonts w:cstheme="minorHAnsi"/>
          <w:sz w:val="23"/>
          <w:szCs w:val="23"/>
        </w:rPr>
      </w:pPr>
      <w:r w:rsidRPr="00C65303">
        <w:rPr>
          <w:rFonts w:cstheme="minorHAnsi"/>
          <w:sz w:val="23"/>
          <w:szCs w:val="23"/>
        </w:rPr>
        <w:t xml:space="preserve">In March, </w:t>
      </w:r>
      <w:r w:rsidR="00A20FA4" w:rsidRPr="00C65303">
        <w:rPr>
          <w:rFonts w:cstheme="minorHAnsi"/>
          <w:sz w:val="23"/>
          <w:szCs w:val="23"/>
        </w:rPr>
        <w:t>Truliant became the first financial institution in the Southeast to complete a transfer of an ele</w:t>
      </w:r>
      <w:r w:rsidR="00E05B84">
        <w:rPr>
          <w:rFonts w:cstheme="minorHAnsi"/>
          <w:sz w:val="23"/>
          <w:szCs w:val="23"/>
        </w:rPr>
        <w:t xml:space="preserve">ctronic promissory note </w:t>
      </w:r>
      <w:r w:rsidR="00A20FA4" w:rsidRPr="00C65303">
        <w:rPr>
          <w:rFonts w:cstheme="minorHAnsi"/>
          <w:sz w:val="23"/>
          <w:szCs w:val="23"/>
        </w:rPr>
        <w:t xml:space="preserve">to </w:t>
      </w:r>
      <w:r w:rsidR="00E05B84">
        <w:rPr>
          <w:rFonts w:cstheme="minorHAnsi"/>
          <w:sz w:val="23"/>
          <w:szCs w:val="23"/>
        </w:rPr>
        <w:t xml:space="preserve">the </w:t>
      </w:r>
      <w:r w:rsidR="00A20FA4" w:rsidRPr="00C65303">
        <w:rPr>
          <w:rFonts w:cstheme="minorHAnsi"/>
          <w:sz w:val="23"/>
          <w:szCs w:val="23"/>
        </w:rPr>
        <w:t>Federal Home Loan B</w:t>
      </w:r>
      <w:r w:rsidR="00E05B84">
        <w:rPr>
          <w:rFonts w:cstheme="minorHAnsi"/>
          <w:sz w:val="23"/>
          <w:szCs w:val="23"/>
        </w:rPr>
        <w:t>ank</w:t>
      </w:r>
      <w:r w:rsidR="009A29EE">
        <w:rPr>
          <w:rFonts w:cstheme="minorHAnsi"/>
          <w:sz w:val="23"/>
          <w:szCs w:val="23"/>
        </w:rPr>
        <w:t xml:space="preserve"> (FHLB)</w:t>
      </w:r>
      <w:r w:rsidR="00E05B84">
        <w:rPr>
          <w:rFonts w:cstheme="minorHAnsi"/>
          <w:sz w:val="23"/>
          <w:szCs w:val="23"/>
        </w:rPr>
        <w:t xml:space="preserve"> of Atlanta</w:t>
      </w:r>
      <w:r w:rsidR="00A20FA4" w:rsidRPr="00C65303">
        <w:rPr>
          <w:rFonts w:cstheme="minorHAnsi"/>
          <w:sz w:val="23"/>
          <w:szCs w:val="23"/>
        </w:rPr>
        <w:t xml:space="preserve">. The transaction used the </w:t>
      </w:r>
      <w:r w:rsidRPr="00C65303">
        <w:rPr>
          <w:rFonts w:cstheme="minorHAnsi"/>
          <w:sz w:val="23"/>
          <w:szCs w:val="23"/>
        </w:rPr>
        <w:t>DocMagic eVault</w:t>
      </w:r>
      <w:r w:rsidR="00A20FA4" w:rsidRPr="00C65303">
        <w:rPr>
          <w:rFonts w:cstheme="minorHAnsi"/>
          <w:sz w:val="23"/>
          <w:szCs w:val="23"/>
        </w:rPr>
        <w:t xml:space="preserve"> and Mortgage Electronic Registration Systems (MERS) eDelivery systems. </w:t>
      </w:r>
    </w:p>
    <w:p w:rsidR="00C4425F" w:rsidRDefault="00CD6BB7" w:rsidP="00C4425F">
      <w:pPr>
        <w:spacing w:before="120" w:after="0"/>
        <w:rPr>
          <w:rFonts w:cstheme="minorHAnsi"/>
          <w:sz w:val="23"/>
          <w:szCs w:val="23"/>
        </w:rPr>
      </w:pPr>
      <w:r>
        <w:rPr>
          <w:rFonts w:cstheme="minorHAnsi"/>
          <w:color w:val="000000"/>
          <w:sz w:val="23"/>
          <w:szCs w:val="23"/>
        </w:rPr>
        <w:t xml:space="preserve">Beth Eller, vice president of Truliant Mortgage Services and a member of the N.C. Secretary of State’s </w:t>
      </w:r>
      <w:r w:rsidRPr="0085687E">
        <w:rPr>
          <w:rFonts w:cstheme="minorHAnsi"/>
          <w:color w:val="000000"/>
          <w:sz w:val="23"/>
          <w:szCs w:val="23"/>
        </w:rPr>
        <w:t xml:space="preserve">2021 eMortgage Closing Advisory </w:t>
      </w:r>
      <w:proofErr w:type="gramStart"/>
      <w:r w:rsidR="000837F6" w:rsidRPr="0085687E">
        <w:rPr>
          <w:rFonts w:cstheme="minorHAnsi"/>
          <w:color w:val="000000"/>
          <w:sz w:val="23"/>
          <w:szCs w:val="23"/>
        </w:rPr>
        <w:t>Committee</w:t>
      </w:r>
      <w:r w:rsidR="000837F6">
        <w:rPr>
          <w:rFonts w:cstheme="minorHAnsi"/>
          <w:color w:val="000000"/>
          <w:sz w:val="23"/>
          <w:szCs w:val="23"/>
        </w:rPr>
        <w:t>,</w:t>
      </w:r>
      <w:proofErr w:type="gramEnd"/>
      <w:r w:rsidR="000837F6">
        <w:rPr>
          <w:rFonts w:cstheme="minorHAnsi"/>
          <w:color w:val="000000"/>
          <w:sz w:val="23"/>
          <w:szCs w:val="23"/>
        </w:rPr>
        <w:t xml:space="preserve"> </w:t>
      </w:r>
      <w:r>
        <w:rPr>
          <w:rFonts w:cstheme="minorHAnsi"/>
          <w:color w:val="000000"/>
          <w:sz w:val="23"/>
          <w:szCs w:val="23"/>
        </w:rPr>
        <w:t>oversaw the ful</w:t>
      </w:r>
      <w:r w:rsidR="009A29EE">
        <w:rPr>
          <w:rFonts w:cstheme="minorHAnsi"/>
          <w:color w:val="000000"/>
          <w:sz w:val="23"/>
          <w:szCs w:val="23"/>
        </w:rPr>
        <w:t xml:space="preserve">ly remote eClosing at Truliant. </w:t>
      </w:r>
      <w:r w:rsidR="009A29EE" w:rsidRPr="009A29EE">
        <w:rPr>
          <w:rFonts w:cstheme="minorHAnsi"/>
          <w:color w:val="000000"/>
          <w:sz w:val="23"/>
          <w:szCs w:val="23"/>
        </w:rPr>
        <w:t xml:space="preserve">Eller launched Truliant’s eClosings program </w:t>
      </w:r>
      <w:r w:rsidR="000837F6">
        <w:rPr>
          <w:rFonts w:cstheme="minorHAnsi"/>
          <w:color w:val="000000"/>
          <w:sz w:val="23"/>
          <w:szCs w:val="23"/>
        </w:rPr>
        <w:t xml:space="preserve">in 2020 </w:t>
      </w:r>
      <w:r w:rsidR="009A29EE" w:rsidRPr="009A29EE">
        <w:rPr>
          <w:rFonts w:cstheme="minorHAnsi"/>
          <w:color w:val="000000"/>
          <w:sz w:val="23"/>
          <w:szCs w:val="23"/>
        </w:rPr>
        <w:t xml:space="preserve">and </w:t>
      </w:r>
      <w:r w:rsidR="009A29EE">
        <w:rPr>
          <w:rFonts w:cstheme="minorHAnsi"/>
          <w:color w:val="000000"/>
          <w:sz w:val="23"/>
          <w:szCs w:val="23"/>
        </w:rPr>
        <w:t xml:space="preserve">was responsible for its FHLB </w:t>
      </w:r>
      <w:proofErr w:type="spellStart"/>
      <w:r w:rsidR="009A29EE">
        <w:rPr>
          <w:rFonts w:cstheme="minorHAnsi"/>
          <w:color w:val="000000"/>
          <w:sz w:val="23"/>
          <w:szCs w:val="23"/>
        </w:rPr>
        <w:t>eNotes</w:t>
      </w:r>
      <w:proofErr w:type="spellEnd"/>
      <w:r w:rsidR="009A29EE">
        <w:rPr>
          <w:rFonts w:cstheme="minorHAnsi"/>
          <w:color w:val="000000"/>
          <w:sz w:val="23"/>
          <w:szCs w:val="23"/>
        </w:rPr>
        <w:t xml:space="preserve"> transfer</w:t>
      </w:r>
      <w:r w:rsidR="000837F6">
        <w:rPr>
          <w:rFonts w:cstheme="minorHAnsi"/>
          <w:color w:val="000000"/>
          <w:sz w:val="23"/>
          <w:szCs w:val="23"/>
        </w:rPr>
        <w:t xml:space="preserve"> this year</w:t>
      </w:r>
      <w:r w:rsidR="009A29EE" w:rsidRPr="009A29EE">
        <w:rPr>
          <w:rFonts w:cstheme="minorHAnsi"/>
          <w:color w:val="000000"/>
          <w:sz w:val="23"/>
          <w:szCs w:val="23"/>
        </w:rPr>
        <w:t>.</w:t>
      </w:r>
    </w:p>
    <w:p w:rsidR="00C4425F" w:rsidRDefault="00CD6BB7" w:rsidP="00C4425F">
      <w:pPr>
        <w:spacing w:before="120" w:after="0"/>
        <w:rPr>
          <w:rFonts w:cstheme="minorHAnsi"/>
          <w:sz w:val="23"/>
          <w:szCs w:val="23"/>
        </w:rPr>
      </w:pPr>
      <w:r w:rsidRPr="00064478">
        <w:rPr>
          <w:rFonts w:cstheme="minorHAnsi"/>
          <w:sz w:val="23"/>
          <w:szCs w:val="23"/>
        </w:rPr>
        <w:t xml:space="preserve">“This is a monumental step for Truliant and the eClosings process. We are committed </w:t>
      </w:r>
      <w:r>
        <w:rPr>
          <w:rFonts w:cstheme="minorHAnsi"/>
          <w:sz w:val="23"/>
          <w:szCs w:val="23"/>
        </w:rPr>
        <w:t xml:space="preserve">to continued innovation in the mortgage eClosings space and </w:t>
      </w:r>
      <w:r w:rsidRPr="00064478">
        <w:rPr>
          <w:rFonts w:cstheme="minorHAnsi"/>
          <w:sz w:val="23"/>
          <w:szCs w:val="23"/>
        </w:rPr>
        <w:t>to the being at the forefront of North Carolina’s efforts to ma</w:t>
      </w:r>
      <w:r>
        <w:rPr>
          <w:rFonts w:cstheme="minorHAnsi"/>
          <w:sz w:val="23"/>
          <w:szCs w:val="23"/>
        </w:rPr>
        <w:t xml:space="preserve">ke them </w:t>
      </w:r>
      <w:r w:rsidRPr="00064478">
        <w:rPr>
          <w:rFonts w:cstheme="minorHAnsi"/>
          <w:sz w:val="23"/>
          <w:szCs w:val="23"/>
        </w:rPr>
        <w:t>flourish,” said Beth Eller, vice president of Truliant Mortgage Services.</w:t>
      </w:r>
    </w:p>
    <w:p w:rsidR="00992882" w:rsidRPr="00C4425F" w:rsidRDefault="00227DCD" w:rsidP="00C4425F">
      <w:pPr>
        <w:spacing w:before="120" w:after="0"/>
        <w:rPr>
          <w:rFonts w:cstheme="minorHAnsi"/>
          <w:sz w:val="23"/>
          <w:szCs w:val="23"/>
        </w:rPr>
      </w:pPr>
      <w:bookmarkStart w:id="0" w:name="_GoBack"/>
      <w:bookmarkEnd w:id="0"/>
      <w:r w:rsidRPr="00C65303">
        <w:rPr>
          <w:rFonts w:cstheme="minorHAnsi"/>
          <w:color w:val="000000"/>
          <w:sz w:val="23"/>
          <w:szCs w:val="23"/>
        </w:rPr>
        <w:t xml:space="preserve">The eClosing process </w:t>
      </w:r>
      <w:proofErr w:type="gramStart"/>
      <w:r w:rsidRPr="00C65303">
        <w:rPr>
          <w:rFonts w:cstheme="minorHAnsi"/>
          <w:color w:val="000000"/>
          <w:sz w:val="23"/>
          <w:szCs w:val="23"/>
        </w:rPr>
        <w:t>is streamlined</w:t>
      </w:r>
      <w:proofErr w:type="gramEnd"/>
      <w:r w:rsidRPr="00C65303">
        <w:rPr>
          <w:rFonts w:cstheme="minorHAnsi"/>
          <w:color w:val="000000"/>
          <w:sz w:val="23"/>
          <w:szCs w:val="23"/>
        </w:rPr>
        <w:t xml:space="preserve"> so communication between the borrower, lawyer and eNotary is fast and secure. Once documents are signed digitally, an eNote is securely submitted to the Mortgage Electronic Registration System. Truliant then electronically disperses the funds to complete the sale. Full e-Closings reduce the use of paper, legal fees, mailing and courier costs. The process is done on a secure network with all documents being encrypted and stored in an el</w:t>
      </w:r>
      <w:r w:rsidR="00CD6BB7">
        <w:rPr>
          <w:rFonts w:cstheme="minorHAnsi"/>
          <w:color w:val="000000"/>
          <w:sz w:val="23"/>
          <w:szCs w:val="23"/>
        </w:rPr>
        <w:t xml:space="preserve">ectronic vault. </w:t>
      </w:r>
      <w:r w:rsidR="00CD6BB7">
        <w:rPr>
          <w:rFonts w:cstheme="minorHAnsi"/>
          <w:color w:val="000000"/>
          <w:sz w:val="23"/>
          <w:szCs w:val="23"/>
        </w:rPr>
        <w:br/>
      </w:r>
      <w:r w:rsidR="00C96DA8" w:rsidRPr="00C65303">
        <w:rPr>
          <w:rFonts w:cstheme="minorHAnsi"/>
          <w:sz w:val="23"/>
          <w:szCs w:val="23"/>
        </w:rPr>
        <w:br/>
      </w:r>
      <w:r w:rsidR="00EB3457" w:rsidRPr="00C65303">
        <w:rPr>
          <w:rFonts w:cstheme="minorHAnsi"/>
          <w:b/>
          <w:bCs/>
          <w:sz w:val="23"/>
          <w:szCs w:val="23"/>
          <w:u w:val="single"/>
        </w:rPr>
        <w:t>About Truliant Federal Credit Union</w:t>
      </w:r>
      <w:r w:rsidR="00EB3457" w:rsidRPr="00C65303">
        <w:rPr>
          <w:rFonts w:cstheme="minorHAnsi"/>
          <w:sz w:val="23"/>
          <w:szCs w:val="23"/>
        </w:rPr>
        <w:br/>
        <w:t xml:space="preserve">Truliant is a mission-driven, not-for-profit financial institution that promises to always have its member-owners’ best interests at heart. It improves lives by providing financial guidance and affordable financial services. Truliant was chartered in 1952 and now serves </w:t>
      </w:r>
      <w:r w:rsidR="00B776C3" w:rsidRPr="00C65303">
        <w:rPr>
          <w:rFonts w:cstheme="minorHAnsi"/>
          <w:sz w:val="23"/>
          <w:szCs w:val="23"/>
        </w:rPr>
        <w:t xml:space="preserve">more than </w:t>
      </w:r>
      <w:r w:rsidR="00EB3457" w:rsidRPr="00C65303">
        <w:rPr>
          <w:rFonts w:cstheme="minorHAnsi"/>
          <w:sz w:val="23"/>
          <w:szCs w:val="23"/>
        </w:rPr>
        <w:t>280,000 members. Truliant has more than 30 Member Financial Centers in North Carolina, South Carolina and Virginia.</w:t>
      </w:r>
    </w:p>
    <w:p w:rsidR="00992882" w:rsidRPr="00C96DA8" w:rsidRDefault="00992882" w:rsidP="000E1C5B">
      <w:pPr>
        <w:rPr>
          <w:sz w:val="40"/>
          <w:szCs w:val="40"/>
        </w:rPr>
      </w:pPr>
    </w:p>
    <w:sectPr w:rsidR="00992882" w:rsidRPr="00C96DA8" w:rsidSect="00C96DA8">
      <w:headerReference w:type="first" r:id="rId8"/>
      <w:pgSz w:w="12240" w:h="15840"/>
      <w:pgMar w:top="1440" w:right="1800" w:bottom="1440" w:left="180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A1" w:rsidRDefault="000A2CA1">
      <w:pPr>
        <w:spacing w:after="0" w:line="240" w:lineRule="auto"/>
      </w:pPr>
      <w:r>
        <w:separator/>
      </w:r>
    </w:p>
  </w:endnote>
  <w:endnote w:type="continuationSeparator" w:id="0">
    <w:p w:rsidR="000A2CA1" w:rsidRDefault="000A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A1" w:rsidRDefault="000A2CA1">
      <w:pPr>
        <w:spacing w:after="0" w:line="240" w:lineRule="auto"/>
      </w:pPr>
      <w:r>
        <w:separator/>
      </w:r>
    </w:p>
  </w:footnote>
  <w:footnote w:type="continuationSeparator" w:id="0">
    <w:p w:rsidR="000A2CA1" w:rsidRDefault="000A2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26" w:rsidRDefault="00EB3457">
    <w:pPr>
      <w:pStyle w:val="Header"/>
    </w:pPr>
    <w:r>
      <w:rPr>
        <w:noProof/>
      </w:rPr>
      <w:drawing>
        <wp:anchor distT="0" distB="0" distL="114300" distR="114300" simplePos="0" relativeHeight="251658240" behindDoc="1" locked="0" layoutInCell="1" allowOverlap="1" wp14:anchorId="499AEB89" wp14:editId="574ACD58">
          <wp:simplePos x="0" y="0"/>
          <wp:positionH relativeFrom="page">
            <wp:posOffset>19050</wp:posOffset>
          </wp:positionH>
          <wp:positionV relativeFrom="page">
            <wp:posOffset>32886</wp:posOffset>
          </wp:positionV>
          <wp:extent cx="6729984" cy="232257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53777" name="Picture 1"/>
                  <pic:cNvPicPr/>
                </pic:nvPicPr>
                <pic:blipFill>
                  <a:blip r:embed="rId1"/>
                  <a:stretch>
                    <a:fillRect/>
                  </a:stretch>
                </pic:blipFill>
                <pic:spPr>
                  <a:xfrm>
                    <a:off x="0" y="0"/>
                    <a:ext cx="6729984" cy="23225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B69BF"/>
    <w:multiLevelType w:val="hybridMultilevel"/>
    <w:tmpl w:val="2DAA59A2"/>
    <w:lvl w:ilvl="0" w:tplc="F7DA1E6C">
      <w:start w:val="1"/>
      <w:numFmt w:val="bullet"/>
      <w:lvlText w:val=""/>
      <w:lvlJc w:val="left"/>
      <w:pPr>
        <w:ind w:left="720" w:hanging="360"/>
      </w:pPr>
      <w:rPr>
        <w:rFonts w:ascii="Symbol" w:hAnsi="Symbol" w:hint="default"/>
      </w:rPr>
    </w:lvl>
    <w:lvl w:ilvl="1" w:tplc="6C58072C" w:tentative="1">
      <w:start w:val="1"/>
      <w:numFmt w:val="bullet"/>
      <w:lvlText w:val="o"/>
      <w:lvlJc w:val="left"/>
      <w:pPr>
        <w:ind w:left="1440" w:hanging="360"/>
      </w:pPr>
      <w:rPr>
        <w:rFonts w:ascii="Courier New" w:hAnsi="Courier New" w:hint="default"/>
      </w:rPr>
    </w:lvl>
    <w:lvl w:ilvl="2" w:tplc="8014EF4E" w:tentative="1">
      <w:start w:val="1"/>
      <w:numFmt w:val="bullet"/>
      <w:lvlText w:val=""/>
      <w:lvlJc w:val="left"/>
      <w:pPr>
        <w:ind w:left="2160" w:hanging="360"/>
      </w:pPr>
      <w:rPr>
        <w:rFonts w:ascii="Wingdings" w:hAnsi="Wingdings" w:hint="default"/>
      </w:rPr>
    </w:lvl>
    <w:lvl w:ilvl="3" w:tplc="0F1E546E" w:tentative="1">
      <w:start w:val="1"/>
      <w:numFmt w:val="bullet"/>
      <w:lvlText w:val=""/>
      <w:lvlJc w:val="left"/>
      <w:pPr>
        <w:ind w:left="2880" w:hanging="360"/>
      </w:pPr>
      <w:rPr>
        <w:rFonts w:ascii="Symbol" w:hAnsi="Symbol" w:hint="default"/>
      </w:rPr>
    </w:lvl>
    <w:lvl w:ilvl="4" w:tplc="65DAF634" w:tentative="1">
      <w:start w:val="1"/>
      <w:numFmt w:val="bullet"/>
      <w:lvlText w:val="o"/>
      <w:lvlJc w:val="left"/>
      <w:pPr>
        <w:ind w:left="3600" w:hanging="360"/>
      </w:pPr>
      <w:rPr>
        <w:rFonts w:ascii="Courier New" w:hAnsi="Courier New" w:hint="default"/>
      </w:rPr>
    </w:lvl>
    <w:lvl w:ilvl="5" w:tplc="D7F8D098" w:tentative="1">
      <w:start w:val="1"/>
      <w:numFmt w:val="bullet"/>
      <w:lvlText w:val=""/>
      <w:lvlJc w:val="left"/>
      <w:pPr>
        <w:ind w:left="4320" w:hanging="360"/>
      </w:pPr>
      <w:rPr>
        <w:rFonts w:ascii="Wingdings" w:hAnsi="Wingdings" w:hint="default"/>
      </w:rPr>
    </w:lvl>
    <w:lvl w:ilvl="6" w:tplc="02A48CD2" w:tentative="1">
      <w:start w:val="1"/>
      <w:numFmt w:val="bullet"/>
      <w:lvlText w:val=""/>
      <w:lvlJc w:val="left"/>
      <w:pPr>
        <w:ind w:left="5040" w:hanging="360"/>
      </w:pPr>
      <w:rPr>
        <w:rFonts w:ascii="Symbol" w:hAnsi="Symbol" w:hint="default"/>
      </w:rPr>
    </w:lvl>
    <w:lvl w:ilvl="7" w:tplc="BB24E846" w:tentative="1">
      <w:start w:val="1"/>
      <w:numFmt w:val="bullet"/>
      <w:lvlText w:val="o"/>
      <w:lvlJc w:val="left"/>
      <w:pPr>
        <w:ind w:left="5760" w:hanging="360"/>
      </w:pPr>
      <w:rPr>
        <w:rFonts w:ascii="Courier New" w:hAnsi="Courier New" w:hint="default"/>
      </w:rPr>
    </w:lvl>
    <w:lvl w:ilvl="8" w:tplc="74C0594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EE"/>
    <w:rsid w:val="0000010A"/>
    <w:rsid w:val="00022F41"/>
    <w:rsid w:val="000364FC"/>
    <w:rsid w:val="00055EBF"/>
    <w:rsid w:val="00061068"/>
    <w:rsid w:val="0006239C"/>
    <w:rsid w:val="00064478"/>
    <w:rsid w:val="00071A99"/>
    <w:rsid w:val="00073DB0"/>
    <w:rsid w:val="000837F6"/>
    <w:rsid w:val="0008792C"/>
    <w:rsid w:val="00093C4E"/>
    <w:rsid w:val="000963FE"/>
    <w:rsid w:val="000A2CA1"/>
    <w:rsid w:val="000A528F"/>
    <w:rsid w:val="000D029A"/>
    <w:rsid w:val="000E1C5B"/>
    <w:rsid w:val="000E4A3B"/>
    <w:rsid w:val="000E4D2B"/>
    <w:rsid w:val="000F2056"/>
    <w:rsid w:val="000F3653"/>
    <w:rsid w:val="000F652B"/>
    <w:rsid w:val="00102C3B"/>
    <w:rsid w:val="00105F1E"/>
    <w:rsid w:val="00107BF7"/>
    <w:rsid w:val="00113AD4"/>
    <w:rsid w:val="00117427"/>
    <w:rsid w:val="00122595"/>
    <w:rsid w:val="00145E91"/>
    <w:rsid w:val="001521D4"/>
    <w:rsid w:val="00153F50"/>
    <w:rsid w:val="00161615"/>
    <w:rsid w:val="0016309D"/>
    <w:rsid w:val="0017109E"/>
    <w:rsid w:val="00173553"/>
    <w:rsid w:val="001929B1"/>
    <w:rsid w:val="0019674D"/>
    <w:rsid w:val="001D4E18"/>
    <w:rsid w:val="001E3256"/>
    <w:rsid w:val="001F0FFA"/>
    <w:rsid w:val="0020008A"/>
    <w:rsid w:val="002040A3"/>
    <w:rsid w:val="00227DCD"/>
    <w:rsid w:val="002347ED"/>
    <w:rsid w:val="002A78A7"/>
    <w:rsid w:val="002B0BE8"/>
    <w:rsid w:val="002B7119"/>
    <w:rsid w:val="002D2323"/>
    <w:rsid w:val="002D6075"/>
    <w:rsid w:val="002D6D7F"/>
    <w:rsid w:val="002E0FDA"/>
    <w:rsid w:val="002F0EAD"/>
    <w:rsid w:val="002F47D1"/>
    <w:rsid w:val="002F4C61"/>
    <w:rsid w:val="002F6CA4"/>
    <w:rsid w:val="00305FBA"/>
    <w:rsid w:val="003070D0"/>
    <w:rsid w:val="00316DED"/>
    <w:rsid w:val="00322A2E"/>
    <w:rsid w:val="003243EC"/>
    <w:rsid w:val="00332F57"/>
    <w:rsid w:val="00333824"/>
    <w:rsid w:val="003352C9"/>
    <w:rsid w:val="0033660A"/>
    <w:rsid w:val="00375C0D"/>
    <w:rsid w:val="00385CB6"/>
    <w:rsid w:val="003861DB"/>
    <w:rsid w:val="00387A68"/>
    <w:rsid w:val="00387FDB"/>
    <w:rsid w:val="0039284F"/>
    <w:rsid w:val="003A0FED"/>
    <w:rsid w:val="003A334C"/>
    <w:rsid w:val="003B39A2"/>
    <w:rsid w:val="003B7727"/>
    <w:rsid w:val="003B7887"/>
    <w:rsid w:val="003D1349"/>
    <w:rsid w:val="003E3930"/>
    <w:rsid w:val="003E685A"/>
    <w:rsid w:val="003F3323"/>
    <w:rsid w:val="004208E7"/>
    <w:rsid w:val="00420D8C"/>
    <w:rsid w:val="00424FC3"/>
    <w:rsid w:val="00444140"/>
    <w:rsid w:val="00445656"/>
    <w:rsid w:val="004473A6"/>
    <w:rsid w:val="004509BD"/>
    <w:rsid w:val="0045309A"/>
    <w:rsid w:val="00485D87"/>
    <w:rsid w:val="00495415"/>
    <w:rsid w:val="004A3691"/>
    <w:rsid w:val="004B3A0D"/>
    <w:rsid w:val="004B4F86"/>
    <w:rsid w:val="004B5F03"/>
    <w:rsid w:val="004B6D84"/>
    <w:rsid w:val="004B728E"/>
    <w:rsid w:val="004C2403"/>
    <w:rsid w:val="004C6711"/>
    <w:rsid w:val="004E5A75"/>
    <w:rsid w:val="00507477"/>
    <w:rsid w:val="0051338A"/>
    <w:rsid w:val="00521473"/>
    <w:rsid w:val="00547BC4"/>
    <w:rsid w:val="00550F68"/>
    <w:rsid w:val="00554C8B"/>
    <w:rsid w:val="00560B49"/>
    <w:rsid w:val="00566753"/>
    <w:rsid w:val="005763F6"/>
    <w:rsid w:val="00597800"/>
    <w:rsid w:val="005D3974"/>
    <w:rsid w:val="005F29D1"/>
    <w:rsid w:val="005F3BCE"/>
    <w:rsid w:val="005F4BFD"/>
    <w:rsid w:val="006007C5"/>
    <w:rsid w:val="00600E82"/>
    <w:rsid w:val="00606C4C"/>
    <w:rsid w:val="006106E7"/>
    <w:rsid w:val="0061205D"/>
    <w:rsid w:val="00612C25"/>
    <w:rsid w:val="00622526"/>
    <w:rsid w:val="0063560C"/>
    <w:rsid w:val="006405F0"/>
    <w:rsid w:val="00650960"/>
    <w:rsid w:val="006520BA"/>
    <w:rsid w:val="0065483D"/>
    <w:rsid w:val="00663440"/>
    <w:rsid w:val="00663F2E"/>
    <w:rsid w:val="00664C07"/>
    <w:rsid w:val="00672AE5"/>
    <w:rsid w:val="00676FB2"/>
    <w:rsid w:val="00685D5F"/>
    <w:rsid w:val="00690962"/>
    <w:rsid w:val="006C1233"/>
    <w:rsid w:val="006C7DA7"/>
    <w:rsid w:val="006D0942"/>
    <w:rsid w:val="006F438C"/>
    <w:rsid w:val="006F7C28"/>
    <w:rsid w:val="00705A95"/>
    <w:rsid w:val="007121E6"/>
    <w:rsid w:val="00726705"/>
    <w:rsid w:val="00736E48"/>
    <w:rsid w:val="00736EED"/>
    <w:rsid w:val="00757457"/>
    <w:rsid w:val="00761827"/>
    <w:rsid w:val="00761B5D"/>
    <w:rsid w:val="00770EA5"/>
    <w:rsid w:val="00781744"/>
    <w:rsid w:val="00787B81"/>
    <w:rsid w:val="007A5E74"/>
    <w:rsid w:val="007B48DE"/>
    <w:rsid w:val="007C1779"/>
    <w:rsid w:val="007D7350"/>
    <w:rsid w:val="007E3501"/>
    <w:rsid w:val="007E38A6"/>
    <w:rsid w:val="007F1EC9"/>
    <w:rsid w:val="007F7F11"/>
    <w:rsid w:val="008012D3"/>
    <w:rsid w:val="0080341F"/>
    <w:rsid w:val="00825FD3"/>
    <w:rsid w:val="0083047B"/>
    <w:rsid w:val="00841D14"/>
    <w:rsid w:val="0085083A"/>
    <w:rsid w:val="0085687E"/>
    <w:rsid w:val="008643B8"/>
    <w:rsid w:val="00877971"/>
    <w:rsid w:val="008B3FEB"/>
    <w:rsid w:val="008C7829"/>
    <w:rsid w:val="008C7A52"/>
    <w:rsid w:val="008C7D9A"/>
    <w:rsid w:val="008E4771"/>
    <w:rsid w:val="008F7037"/>
    <w:rsid w:val="009157A2"/>
    <w:rsid w:val="0091770B"/>
    <w:rsid w:val="00921473"/>
    <w:rsid w:val="0092290B"/>
    <w:rsid w:val="00922A75"/>
    <w:rsid w:val="0093654B"/>
    <w:rsid w:val="00956B01"/>
    <w:rsid w:val="00963326"/>
    <w:rsid w:val="009828F4"/>
    <w:rsid w:val="0099177E"/>
    <w:rsid w:val="00992882"/>
    <w:rsid w:val="009A29EE"/>
    <w:rsid w:val="009A2F23"/>
    <w:rsid w:val="009B3E8F"/>
    <w:rsid w:val="009D3EBB"/>
    <w:rsid w:val="009D487B"/>
    <w:rsid w:val="009D535A"/>
    <w:rsid w:val="009D7324"/>
    <w:rsid w:val="009E70E4"/>
    <w:rsid w:val="00A20FA4"/>
    <w:rsid w:val="00A2181E"/>
    <w:rsid w:val="00A51F3B"/>
    <w:rsid w:val="00A63385"/>
    <w:rsid w:val="00A6585E"/>
    <w:rsid w:val="00A66971"/>
    <w:rsid w:val="00A763A1"/>
    <w:rsid w:val="00A94A36"/>
    <w:rsid w:val="00AA18B6"/>
    <w:rsid w:val="00AB088D"/>
    <w:rsid w:val="00AB17E7"/>
    <w:rsid w:val="00AB65CB"/>
    <w:rsid w:val="00AE1230"/>
    <w:rsid w:val="00AF06DB"/>
    <w:rsid w:val="00B26691"/>
    <w:rsid w:val="00B6309C"/>
    <w:rsid w:val="00B776C3"/>
    <w:rsid w:val="00B80EF9"/>
    <w:rsid w:val="00B871BC"/>
    <w:rsid w:val="00B9551C"/>
    <w:rsid w:val="00BA49B5"/>
    <w:rsid w:val="00BA56F4"/>
    <w:rsid w:val="00BB0E44"/>
    <w:rsid w:val="00BB1FD3"/>
    <w:rsid w:val="00BB449E"/>
    <w:rsid w:val="00BC292C"/>
    <w:rsid w:val="00BD4315"/>
    <w:rsid w:val="00BD54FD"/>
    <w:rsid w:val="00BE529B"/>
    <w:rsid w:val="00BF1D80"/>
    <w:rsid w:val="00C05027"/>
    <w:rsid w:val="00C1205C"/>
    <w:rsid w:val="00C17426"/>
    <w:rsid w:val="00C22640"/>
    <w:rsid w:val="00C23A9E"/>
    <w:rsid w:val="00C37D33"/>
    <w:rsid w:val="00C4425F"/>
    <w:rsid w:val="00C46FF4"/>
    <w:rsid w:val="00C474CD"/>
    <w:rsid w:val="00C63D2A"/>
    <w:rsid w:val="00C65303"/>
    <w:rsid w:val="00C73F4B"/>
    <w:rsid w:val="00C767DA"/>
    <w:rsid w:val="00C77159"/>
    <w:rsid w:val="00C809A0"/>
    <w:rsid w:val="00C84330"/>
    <w:rsid w:val="00C8655F"/>
    <w:rsid w:val="00C92256"/>
    <w:rsid w:val="00C926E3"/>
    <w:rsid w:val="00C93B66"/>
    <w:rsid w:val="00C96DA8"/>
    <w:rsid w:val="00CA0D19"/>
    <w:rsid w:val="00CB3379"/>
    <w:rsid w:val="00CB3B13"/>
    <w:rsid w:val="00CD0B35"/>
    <w:rsid w:val="00CD177F"/>
    <w:rsid w:val="00CD519C"/>
    <w:rsid w:val="00CD6BB7"/>
    <w:rsid w:val="00D010F0"/>
    <w:rsid w:val="00D06773"/>
    <w:rsid w:val="00D14D16"/>
    <w:rsid w:val="00D36FD0"/>
    <w:rsid w:val="00D552E7"/>
    <w:rsid w:val="00D61F3A"/>
    <w:rsid w:val="00D653DD"/>
    <w:rsid w:val="00D82FE0"/>
    <w:rsid w:val="00D848A3"/>
    <w:rsid w:val="00D90360"/>
    <w:rsid w:val="00DA4264"/>
    <w:rsid w:val="00DB2AE1"/>
    <w:rsid w:val="00DB5796"/>
    <w:rsid w:val="00DC6256"/>
    <w:rsid w:val="00DC67B2"/>
    <w:rsid w:val="00DD2257"/>
    <w:rsid w:val="00DE424A"/>
    <w:rsid w:val="00DE64C4"/>
    <w:rsid w:val="00DE67F7"/>
    <w:rsid w:val="00DF0DCA"/>
    <w:rsid w:val="00DF275D"/>
    <w:rsid w:val="00DF4544"/>
    <w:rsid w:val="00E0594A"/>
    <w:rsid w:val="00E05B84"/>
    <w:rsid w:val="00E155EE"/>
    <w:rsid w:val="00E221AC"/>
    <w:rsid w:val="00E22AA8"/>
    <w:rsid w:val="00E43781"/>
    <w:rsid w:val="00E51370"/>
    <w:rsid w:val="00E57FCB"/>
    <w:rsid w:val="00E6058C"/>
    <w:rsid w:val="00E661EB"/>
    <w:rsid w:val="00E66986"/>
    <w:rsid w:val="00E83289"/>
    <w:rsid w:val="00E917C2"/>
    <w:rsid w:val="00E96432"/>
    <w:rsid w:val="00EB3457"/>
    <w:rsid w:val="00EC3099"/>
    <w:rsid w:val="00EC79A9"/>
    <w:rsid w:val="00ED2DCA"/>
    <w:rsid w:val="00ED489C"/>
    <w:rsid w:val="00ED59F6"/>
    <w:rsid w:val="00EE65F2"/>
    <w:rsid w:val="00EF2BF5"/>
    <w:rsid w:val="00F118AE"/>
    <w:rsid w:val="00F24D6B"/>
    <w:rsid w:val="00F27CF1"/>
    <w:rsid w:val="00F34AFA"/>
    <w:rsid w:val="00F431F8"/>
    <w:rsid w:val="00F44E7A"/>
    <w:rsid w:val="00F63FB5"/>
    <w:rsid w:val="00F729CF"/>
    <w:rsid w:val="00F75E4E"/>
    <w:rsid w:val="00FA1C1A"/>
    <w:rsid w:val="00FB1A54"/>
    <w:rsid w:val="00FC4A6F"/>
    <w:rsid w:val="00FF2EB5"/>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A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5B"/>
    <w:pPr>
      <w:spacing w:after="160" w:line="259" w:lineRule="auto"/>
    </w:pPr>
    <w:rPr>
      <w:sz w:val="22"/>
      <w:szCs w:val="22"/>
    </w:rPr>
  </w:style>
  <w:style w:type="paragraph" w:styleId="Heading1">
    <w:name w:val="heading 1"/>
    <w:basedOn w:val="Normal"/>
    <w:link w:val="Heading1Char"/>
    <w:uiPriority w:val="9"/>
    <w:qFormat/>
    <w:rsid w:val="00C46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5E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155EE"/>
  </w:style>
  <w:style w:type="paragraph" w:styleId="Footer">
    <w:name w:val="footer"/>
    <w:basedOn w:val="Normal"/>
    <w:link w:val="FooterChar"/>
    <w:uiPriority w:val="99"/>
    <w:unhideWhenUsed/>
    <w:rsid w:val="00E155E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E155EE"/>
  </w:style>
  <w:style w:type="character" w:styleId="Hyperlink">
    <w:name w:val="Hyperlink"/>
    <w:basedOn w:val="DefaultParagraphFont"/>
    <w:uiPriority w:val="99"/>
    <w:unhideWhenUsed/>
    <w:rsid w:val="00E155EE"/>
    <w:rPr>
      <w:color w:val="0563C1" w:themeColor="hyperlink"/>
      <w:u w:val="single"/>
    </w:rPr>
  </w:style>
  <w:style w:type="character" w:customStyle="1" w:styleId="Heading1Char">
    <w:name w:val="Heading 1 Char"/>
    <w:basedOn w:val="DefaultParagraphFont"/>
    <w:link w:val="Heading1"/>
    <w:uiPriority w:val="9"/>
    <w:rsid w:val="00C46FF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A5E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5E74"/>
    <w:rPr>
      <w:rFonts w:ascii="Times New Roman" w:hAnsi="Times New Roman" w:cs="Times New Roman"/>
      <w:sz w:val="18"/>
      <w:szCs w:val="18"/>
    </w:rPr>
  </w:style>
  <w:style w:type="paragraph" w:styleId="ListParagraph">
    <w:name w:val="List Paragraph"/>
    <w:basedOn w:val="Normal"/>
    <w:uiPriority w:val="34"/>
    <w:qFormat/>
    <w:rsid w:val="000E1C5B"/>
    <w:pPr>
      <w:ind w:left="720"/>
      <w:contextualSpacing/>
    </w:pPr>
  </w:style>
  <w:style w:type="character" w:styleId="CommentReference">
    <w:name w:val="annotation reference"/>
    <w:basedOn w:val="DefaultParagraphFont"/>
    <w:uiPriority w:val="99"/>
    <w:semiHidden/>
    <w:unhideWhenUsed/>
    <w:rsid w:val="00992882"/>
    <w:rPr>
      <w:sz w:val="16"/>
      <w:szCs w:val="16"/>
    </w:rPr>
  </w:style>
  <w:style w:type="paragraph" w:styleId="CommentText">
    <w:name w:val="annotation text"/>
    <w:basedOn w:val="Normal"/>
    <w:link w:val="CommentTextChar"/>
    <w:uiPriority w:val="99"/>
    <w:semiHidden/>
    <w:unhideWhenUsed/>
    <w:rsid w:val="00992882"/>
    <w:pPr>
      <w:spacing w:line="240" w:lineRule="auto"/>
    </w:pPr>
    <w:rPr>
      <w:sz w:val="20"/>
      <w:szCs w:val="20"/>
    </w:rPr>
  </w:style>
  <w:style w:type="character" w:customStyle="1" w:styleId="CommentTextChar">
    <w:name w:val="Comment Text Char"/>
    <w:basedOn w:val="DefaultParagraphFont"/>
    <w:link w:val="CommentText"/>
    <w:uiPriority w:val="99"/>
    <w:semiHidden/>
    <w:rsid w:val="00992882"/>
    <w:rPr>
      <w:sz w:val="20"/>
      <w:szCs w:val="20"/>
    </w:rPr>
  </w:style>
  <w:style w:type="paragraph" w:styleId="CommentSubject">
    <w:name w:val="annotation subject"/>
    <w:basedOn w:val="CommentText"/>
    <w:next w:val="CommentText"/>
    <w:link w:val="CommentSubjectChar"/>
    <w:uiPriority w:val="99"/>
    <w:semiHidden/>
    <w:unhideWhenUsed/>
    <w:rsid w:val="00992882"/>
    <w:rPr>
      <w:b/>
      <w:bCs/>
    </w:rPr>
  </w:style>
  <w:style w:type="character" w:customStyle="1" w:styleId="CommentSubjectChar">
    <w:name w:val="Comment Subject Char"/>
    <w:basedOn w:val="CommentTextChar"/>
    <w:link w:val="CommentSubject"/>
    <w:uiPriority w:val="99"/>
    <w:semiHidden/>
    <w:rsid w:val="009928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27970">
      <w:bodyDiv w:val="1"/>
      <w:marLeft w:val="0"/>
      <w:marRight w:val="0"/>
      <w:marTop w:val="0"/>
      <w:marBottom w:val="0"/>
      <w:divBdr>
        <w:top w:val="none" w:sz="0" w:space="0" w:color="auto"/>
        <w:left w:val="none" w:sz="0" w:space="0" w:color="auto"/>
        <w:bottom w:val="none" w:sz="0" w:space="0" w:color="auto"/>
        <w:right w:val="none" w:sz="0" w:space="0" w:color="auto"/>
      </w:divBdr>
    </w:div>
    <w:div w:id="1429689442">
      <w:bodyDiv w:val="1"/>
      <w:marLeft w:val="0"/>
      <w:marRight w:val="0"/>
      <w:marTop w:val="0"/>
      <w:marBottom w:val="0"/>
      <w:divBdr>
        <w:top w:val="none" w:sz="0" w:space="0" w:color="auto"/>
        <w:left w:val="none" w:sz="0" w:space="0" w:color="auto"/>
        <w:bottom w:val="none" w:sz="0" w:space="0" w:color="auto"/>
        <w:right w:val="none" w:sz="0" w:space="0" w:color="auto"/>
      </w:divBdr>
    </w:div>
    <w:div w:id="20201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heath.combs@truliant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2021-12-14T14:41:00Z</dcterms:created>
  <dcterms:modified xsi:type="dcterms:W3CDTF">2021-12-14T14:48:00Z</dcterms:modified>
</cp:coreProperties>
</file>