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4C9B1" w14:textId="13C22592" w:rsidR="00674039" w:rsidRDefault="00674039" w:rsidP="00286587">
      <w:pPr>
        <w:contextualSpacing/>
        <w:jc w:val="center"/>
        <w:rPr>
          <w:rFonts w:ascii="Arial" w:hAnsi="Arial" w:cs="Arial"/>
          <w:b/>
          <w:sz w:val="20"/>
          <w:szCs w:val="20"/>
        </w:rPr>
      </w:pPr>
    </w:p>
    <w:p w14:paraId="2818DFF2" w14:textId="77777777" w:rsidR="00C102FF" w:rsidRPr="00C102FF" w:rsidRDefault="00C102FF" w:rsidP="00C102FF">
      <w:pPr>
        <w:spacing w:line="0" w:lineRule="atLeast"/>
        <w:ind w:left="43"/>
        <w:contextualSpacing/>
        <w:rPr>
          <w:rFonts w:eastAsia="Arial" w:cs="Calibri"/>
        </w:rPr>
      </w:pPr>
      <w:bookmarkStart w:id="0" w:name="_Hlk66858105"/>
      <w:r w:rsidRPr="00C102FF">
        <w:rPr>
          <w:rFonts w:eastAsia="Arial" w:cs="Calibri"/>
        </w:rPr>
        <w:t>For more information, contact:</w:t>
      </w:r>
    </w:p>
    <w:p w14:paraId="5D5419B5" w14:textId="77777777" w:rsidR="00C102FF" w:rsidRPr="00C102FF" w:rsidRDefault="00C102FF" w:rsidP="00C102FF">
      <w:pPr>
        <w:spacing w:line="0" w:lineRule="atLeast"/>
        <w:ind w:left="43"/>
        <w:contextualSpacing/>
        <w:rPr>
          <w:rFonts w:eastAsia="Arial" w:cs="Calibri"/>
        </w:rPr>
      </w:pPr>
      <w:r w:rsidRPr="00C102FF">
        <w:rPr>
          <w:rFonts w:eastAsia="Arial" w:cs="Calibri"/>
        </w:rPr>
        <w:t xml:space="preserve">Tracy </w:t>
      </w:r>
      <w:proofErr w:type="spellStart"/>
      <w:r w:rsidRPr="00C102FF">
        <w:rPr>
          <w:rFonts w:eastAsia="Arial" w:cs="Calibri"/>
        </w:rPr>
        <w:t>Szarzi-Fors</w:t>
      </w:r>
      <w:proofErr w:type="spellEnd"/>
      <w:r w:rsidRPr="00C102FF">
        <w:rPr>
          <w:rFonts w:eastAsia="Arial" w:cs="Calibri"/>
        </w:rPr>
        <w:t>, Wright-</w:t>
      </w:r>
      <w:proofErr w:type="spellStart"/>
      <w:r w:rsidRPr="00C102FF">
        <w:rPr>
          <w:rFonts w:eastAsia="Arial" w:cs="Calibri"/>
        </w:rPr>
        <w:t>Patt</w:t>
      </w:r>
      <w:proofErr w:type="spellEnd"/>
      <w:r w:rsidRPr="00C102FF">
        <w:rPr>
          <w:rFonts w:eastAsia="Arial" w:cs="Calibri"/>
        </w:rPr>
        <w:t xml:space="preserve"> Credit Union, Inc. </w:t>
      </w:r>
    </w:p>
    <w:p w14:paraId="7034DFAF" w14:textId="4CC47E86" w:rsidR="00C102FF" w:rsidRPr="00C102FF" w:rsidRDefault="00C102FF" w:rsidP="00C102FF">
      <w:pPr>
        <w:spacing w:line="0" w:lineRule="atLeast"/>
        <w:ind w:left="43"/>
        <w:contextualSpacing/>
        <w:rPr>
          <w:rFonts w:eastAsia="Arial" w:cs="Calibri"/>
        </w:rPr>
      </w:pPr>
      <w:r>
        <w:rPr>
          <w:rFonts w:eastAsia="Arial" w:cs="Calibri"/>
        </w:rPr>
        <w:t>(937) 912-7114</w:t>
      </w:r>
    </w:p>
    <w:p w14:paraId="5B8E07A3" w14:textId="5FF09A65" w:rsidR="00C102FF" w:rsidRDefault="00C102FF" w:rsidP="00C102FF">
      <w:pPr>
        <w:spacing w:line="0" w:lineRule="atLeast"/>
        <w:ind w:left="43"/>
        <w:contextualSpacing/>
        <w:rPr>
          <w:rFonts w:eastAsia="Arial" w:cs="Calibri"/>
        </w:rPr>
      </w:pPr>
      <w:proofErr w:type="gramStart"/>
      <w:r w:rsidRPr="00C102FF">
        <w:rPr>
          <w:rFonts w:eastAsia="Arial" w:cs="Calibri"/>
        </w:rPr>
        <w:t>tszarzi</w:t>
      </w:r>
      <w:proofErr w:type="gramEnd"/>
      <w:r w:rsidRPr="00C102FF">
        <w:rPr>
          <w:rFonts w:eastAsia="Arial" w:cs="Calibri"/>
        </w:rPr>
        <w:t>-fors@wpcu.coop www.wpcu.coop</w:t>
      </w:r>
    </w:p>
    <w:p w14:paraId="3593B554" w14:textId="77777777" w:rsidR="00C102FF" w:rsidRPr="00C102FF" w:rsidRDefault="00C102FF" w:rsidP="00C102FF">
      <w:pPr>
        <w:spacing w:line="0" w:lineRule="atLeast"/>
        <w:ind w:left="43"/>
        <w:contextualSpacing/>
        <w:rPr>
          <w:rFonts w:eastAsia="Arial" w:cs="Calibri"/>
        </w:rPr>
      </w:pPr>
      <w:bookmarkStart w:id="1" w:name="_GoBack"/>
      <w:bookmarkEnd w:id="1"/>
    </w:p>
    <w:p w14:paraId="03B561F0" w14:textId="2C5FF952" w:rsidR="00C102FF" w:rsidRPr="00C102FF" w:rsidRDefault="00C102FF" w:rsidP="00C102FF">
      <w:pPr>
        <w:spacing w:line="0" w:lineRule="atLeast"/>
        <w:jc w:val="center"/>
        <w:rPr>
          <w:rFonts w:eastAsia="Arial" w:cs="Calibri"/>
          <w:b/>
          <w:sz w:val="28"/>
          <w:szCs w:val="28"/>
        </w:rPr>
      </w:pPr>
      <w:r w:rsidRPr="00956F48">
        <w:rPr>
          <w:rFonts w:eastAsia="Arial" w:cs="Calibri"/>
          <w:b/>
          <w:sz w:val="28"/>
          <w:szCs w:val="28"/>
        </w:rPr>
        <w:t>Wright-</w:t>
      </w:r>
      <w:proofErr w:type="spellStart"/>
      <w:r w:rsidRPr="00956F48">
        <w:rPr>
          <w:rFonts w:eastAsia="Arial" w:cs="Calibri"/>
          <w:b/>
          <w:sz w:val="28"/>
          <w:szCs w:val="28"/>
        </w:rPr>
        <w:t>Patt</w:t>
      </w:r>
      <w:proofErr w:type="spellEnd"/>
      <w:r w:rsidRPr="00956F48">
        <w:rPr>
          <w:rFonts w:eastAsia="Arial" w:cs="Calibri"/>
          <w:b/>
          <w:sz w:val="28"/>
          <w:szCs w:val="28"/>
        </w:rPr>
        <w:t xml:space="preserve"> Credit Union</w:t>
      </w:r>
      <w:r>
        <w:rPr>
          <w:rFonts w:eastAsia="Arial" w:cs="Calibri"/>
          <w:b/>
          <w:sz w:val="28"/>
          <w:szCs w:val="28"/>
        </w:rPr>
        <w:t>’s Sunshine Community Fund</w:t>
      </w:r>
      <w:r>
        <w:rPr>
          <w:rFonts w:eastAsia="Arial" w:cs="Calibri"/>
          <w:b/>
          <w:sz w:val="28"/>
          <w:szCs w:val="28"/>
        </w:rPr>
        <w:br/>
        <w:t xml:space="preserve">Awards More Than $55,000 to </w:t>
      </w:r>
      <w:r w:rsidRPr="00956F48">
        <w:rPr>
          <w:rFonts w:eastAsia="Arial" w:cs="Calibri"/>
          <w:b/>
          <w:sz w:val="28"/>
          <w:szCs w:val="28"/>
        </w:rPr>
        <w:t xml:space="preserve">Five </w:t>
      </w:r>
      <w:r>
        <w:rPr>
          <w:rFonts w:eastAsia="Arial" w:cs="Calibri"/>
          <w:b/>
          <w:sz w:val="28"/>
          <w:szCs w:val="28"/>
        </w:rPr>
        <w:t>Non-Profits</w:t>
      </w:r>
    </w:p>
    <w:p w14:paraId="648F4804" w14:textId="72601FE5" w:rsidR="00C102FF" w:rsidRDefault="00C102FF" w:rsidP="00C102FF">
      <w:pPr>
        <w:rPr>
          <w:rFonts w:cs="Calibri"/>
        </w:rPr>
      </w:pPr>
      <w:r w:rsidRPr="004D4C01">
        <w:rPr>
          <w:rFonts w:cs="Calibri"/>
          <w:b/>
          <w:bCs/>
        </w:rPr>
        <w:t>Beavercreek, OH</w:t>
      </w:r>
      <w:r w:rsidRPr="0083458B">
        <w:rPr>
          <w:rFonts w:cs="Calibri"/>
        </w:rPr>
        <w:t xml:space="preserve"> – Wright-</w:t>
      </w:r>
      <w:proofErr w:type="spellStart"/>
      <w:r w:rsidRPr="0083458B">
        <w:rPr>
          <w:rFonts w:cs="Calibri"/>
        </w:rPr>
        <w:t>Patt</w:t>
      </w:r>
      <w:proofErr w:type="spellEnd"/>
      <w:r w:rsidRPr="0083458B">
        <w:rPr>
          <w:rFonts w:cs="Calibri"/>
        </w:rPr>
        <w:t xml:space="preserve"> Credit Union, Inc.’s (</w:t>
      </w:r>
      <w:proofErr w:type="spellStart"/>
      <w:r w:rsidRPr="0083458B">
        <w:rPr>
          <w:rFonts w:cs="Calibri"/>
        </w:rPr>
        <w:t>WPCU</w:t>
      </w:r>
      <w:proofErr w:type="spellEnd"/>
      <w:r w:rsidRPr="0083458B">
        <w:rPr>
          <w:rFonts w:cs="Calibri"/>
        </w:rPr>
        <w:t xml:space="preserve">) Sunshine Community Fund announced the five </w:t>
      </w:r>
      <w:r>
        <w:rPr>
          <w:rFonts w:cs="Calibri"/>
        </w:rPr>
        <w:t>recipients</w:t>
      </w:r>
      <w:r w:rsidRPr="0083458B">
        <w:rPr>
          <w:rFonts w:cs="Calibri"/>
        </w:rPr>
        <w:t xml:space="preserve"> of </w:t>
      </w:r>
      <w:r>
        <w:rPr>
          <w:rFonts w:cs="Calibri"/>
        </w:rPr>
        <w:t xml:space="preserve">its </w:t>
      </w:r>
      <w:r w:rsidRPr="0083458B">
        <w:rPr>
          <w:rFonts w:cs="Calibri"/>
        </w:rPr>
        <w:t xml:space="preserve">2021 </w:t>
      </w:r>
      <w:r>
        <w:rPr>
          <w:rFonts w:cs="Calibri"/>
        </w:rPr>
        <w:t>first quarter</w:t>
      </w:r>
      <w:r w:rsidRPr="0083458B">
        <w:rPr>
          <w:rFonts w:cs="Calibri"/>
        </w:rPr>
        <w:t xml:space="preserve"> </w:t>
      </w:r>
      <w:r>
        <w:rPr>
          <w:rFonts w:cs="Calibri"/>
        </w:rPr>
        <w:t>awards. More than $55,000 will be shared among the five worthwhile organizations.</w:t>
      </w:r>
    </w:p>
    <w:p w14:paraId="67CAB238" w14:textId="77777777" w:rsidR="00C102FF" w:rsidRPr="00C651CF" w:rsidRDefault="00C102FF" w:rsidP="00C102FF">
      <w:r w:rsidRPr="00C437DD">
        <w:rPr>
          <w:rFonts w:cs="Calibri"/>
        </w:rPr>
        <w:t>Twenty nonprofits applied to be considered for the first round of funds earlier this year. Each applicant was required to include a detailed project plan illustrating how the funds would be used in alignment with the fund</w:t>
      </w:r>
      <w:r>
        <w:rPr>
          <w:rFonts w:cs="Calibri"/>
        </w:rPr>
        <w:t>’</w:t>
      </w:r>
      <w:r w:rsidRPr="00C437DD">
        <w:rPr>
          <w:rFonts w:cs="Calibri"/>
        </w:rPr>
        <w:t xml:space="preserve">s mission of helping people through life. </w:t>
      </w:r>
      <w:r w:rsidRPr="00C651CF">
        <w:t xml:space="preserve">After initial vetting by the Sunshine Community Fund Selection Committee, the Board of Trustees approved and forwarded the top seven candidates. Only five of those seven organizations were selected to receive funds through a voting process by </w:t>
      </w:r>
      <w:proofErr w:type="spellStart"/>
      <w:r w:rsidRPr="00C651CF">
        <w:t>WPCU</w:t>
      </w:r>
      <w:proofErr w:type="spellEnd"/>
      <w:r w:rsidRPr="00C651CF">
        <w:t xml:space="preserve"> partner-employees. </w:t>
      </w:r>
    </w:p>
    <w:p w14:paraId="6623F658" w14:textId="77777777" w:rsidR="00C102FF" w:rsidRPr="004C5E71" w:rsidRDefault="00C102FF" w:rsidP="00C102FF">
      <w:pPr>
        <w:shd w:val="clear" w:color="auto" w:fill="FFFFFF"/>
        <w:spacing w:before="100" w:beforeAutospacing="1" w:after="100" w:afterAutospacing="1"/>
        <w:rPr>
          <w:rFonts w:ascii="Open Sans" w:eastAsia="Times New Roman" w:hAnsi="Open Sans" w:cs="Open Sans"/>
          <w:color w:val="30363B"/>
          <w:sz w:val="26"/>
          <w:szCs w:val="26"/>
        </w:rPr>
      </w:pPr>
      <w:r>
        <w:rPr>
          <w:rFonts w:cs="Calibri"/>
        </w:rPr>
        <w:t>The five selected beneficiaries and their specific projects are:</w:t>
      </w:r>
    </w:p>
    <w:p w14:paraId="0CAE6C4F" w14:textId="77777777" w:rsidR="00C102FF" w:rsidRPr="0083458B" w:rsidRDefault="00C102FF" w:rsidP="00C102FF">
      <w:pPr>
        <w:numPr>
          <w:ilvl w:val="0"/>
          <w:numId w:val="1"/>
        </w:numPr>
        <w:spacing w:after="0" w:line="240" w:lineRule="auto"/>
        <w:rPr>
          <w:rFonts w:cs="Calibri"/>
          <w:color w:val="1D2228"/>
        </w:rPr>
      </w:pPr>
      <w:r w:rsidRPr="0083458B">
        <w:rPr>
          <w:rFonts w:cs="Calibri"/>
          <w:b/>
          <w:bCs/>
          <w:color w:val="1D2228"/>
        </w:rPr>
        <w:t>Advocates for Basic Legal Equality, Inc. (ABLE)</w:t>
      </w:r>
      <w:r w:rsidRPr="0083458B">
        <w:rPr>
          <w:rFonts w:cs="Calibri"/>
          <w:color w:val="1D2228"/>
        </w:rPr>
        <w:t> – </w:t>
      </w:r>
      <w:r w:rsidRPr="0083458B">
        <w:rPr>
          <w:rFonts w:cs="Calibri"/>
          <w:i/>
          <w:iCs/>
          <w:color w:val="1D2228"/>
        </w:rPr>
        <w:t xml:space="preserve">Eviction Court Housing </w:t>
      </w:r>
      <w:proofErr w:type="gramStart"/>
      <w:r w:rsidRPr="0083458B">
        <w:rPr>
          <w:rFonts w:cs="Calibri"/>
          <w:i/>
          <w:iCs/>
          <w:color w:val="1D2228"/>
        </w:rPr>
        <w:t>project,</w:t>
      </w:r>
      <w:proofErr w:type="gramEnd"/>
      <w:r w:rsidRPr="0083458B">
        <w:rPr>
          <w:rFonts w:cs="Calibri"/>
          <w:i/>
          <w:iCs/>
          <w:color w:val="1D2228"/>
        </w:rPr>
        <w:t> </w:t>
      </w:r>
      <w:r w:rsidRPr="0083458B">
        <w:rPr>
          <w:rFonts w:cs="Calibri"/>
          <w:color w:val="1D2228"/>
        </w:rPr>
        <w:t>provides free legal service for families struggling in poverty.</w:t>
      </w:r>
    </w:p>
    <w:p w14:paraId="1A7DBA1D" w14:textId="77777777" w:rsidR="00C102FF" w:rsidRPr="0083458B" w:rsidRDefault="00C102FF" w:rsidP="00C102FF">
      <w:pPr>
        <w:numPr>
          <w:ilvl w:val="0"/>
          <w:numId w:val="1"/>
        </w:numPr>
        <w:spacing w:after="0" w:line="240" w:lineRule="auto"/>
        <w:rPr>
          <w:rFonts w:cs="Calibri"/>
          <w:color w:val="1D2228"/>
        </w:rPr>
      </w:pPr>
      <w:r w:rsidRPr="0083458B">
        <w:rPr>
          <w:rFonts w:cs="Calibri"/>
          <w:b/>
          <w:bCs/>
          <w:color w:val="1D2228"/>
        </w:rPr>
        <w:t>Big Brothers Big Sisters of Central Ohio</w:t>
      </w:r>
      <w:r w:rsidRPr="0083458B">
        <w:rPr>
          <w:rFonts w:cs="Calibri"/>
          <w:color w:val="1D2228"/>
        </w:rPr>
        <w:t> – </w:t>
      </w:r>
      <w:r w:rsidRPr="0083458B">
        <w:rPr>
          <w:rFonts w:cs="Calibri"/>
          <w:i/>
          <w:iCs/>
          <w:color w:val="1D2228"/>
        </w:rPr>
        <w:t>Big Futures Program</w:t>
      </w:r>
      <w:r w:rsidRPr="0083458B">
        <w:rPr>
          <w:rFonts w:cs="Calibri"/>
          <w:color w:val="1D2228"/>
        </w:rPr>
        <w:t>, prepares a step-by-step roadmap to graduate from high school.</w:t>
      </w:r>
    </w:p>
    <w:p w14:paraId="6459B2D7" w14:textId="77777777" w:rsidR="00C102FF" w:rsidRPr="0083458B" w:rsidRDefault="00C102FF" w:rsidP="00C102FF">
      <w:pPr>
        <w:numPr>
          <w:ilvl w:val="0"/>
          <w:numId w:val="1"/>
        </w:numPr>
        <w:spacing w:after="0" w:line="240" w:lineRule="auto"/>
        <w:rPr>
          <w:rFonts w:cs="Calibri"/>
          <w:color w:val="1D2228"/>
        </w:rPr>
      </w:pPr>
      <w:r w:rsidRPr="0083458B">
        <w:rPr>
          <w:rFonts w:cs="Calibri"/>
          <w:b/>
          <w:bCs/>
          <w:color w:val="1D2228"/>
        </w:rPr>
        <w:t>Fisher Nightingale Houses </w:t>
      </w:r>
      <w:r w:rsidRPr="0083458B">
        <w:rPr>
          <w:rFonts w:cs="Calibri"/>
          <w:color w:val="1D2228"/>
        </w:rPr>
        <w:t>– </w:t>
      </w:r>
      <w:r w:rsidRPr="0083458B">
        <w:rPr>
          <w:rFonts w:cs="Calibri"/>
          <w:i/>
          <w:iCs/>
          <w:color w:val="1D2228"/>
        </w:rPr>
        <w:t>Support of military families</w:t>
      </w:r>
      <w:r w:rsidRPr="0083458B">
        <w:rPr>
          <w:rFonts w:cs="Calibri"/>
          <w:color w:val="1D2228"/>
        </w:rPr>
        <w:t> by providing a compassionate home to support wounded military men and women.</w:t>
      </w:r>
    </w:p>
    <w:p w14:paraId="602EC6CF" w14:textId="77777777" w:rsidR="00C102FF" w:rsidRPr="0083458B" w:rsidRDefault="00C102FF" w:rsidP="00C102FF">
      <w:pPr>
        <w:numPr>
          <w:ilvl w:val="0"/>
          <w:numId w:val="1"/>
        </w:numPr>
        <w:spacing w:after="0" w:line="240" w:lineRule="auto"/>
        <w:rPr>
          <w:rFonts w:cs="Calibri"/>
          <w:color w:val="1D2228"/>
        </w:rPr>
      </w:pPr>
      <w:r w:rsidRPr="0083458B">
        <w:rPr>
          <w:rFonts w:cs="Calibri"/>
          <w:b/>
          <w:bCs/>
          <w:color w:val="1D2228"/>
        </w:rPr>
        <w:t xml:space="preserve">Per </w:t>
      </w:r>
      <w:proofErr w:type="spellStart"/>
      <w:r w:rsidRPr="0083458B">
        <w:rPr>
          <w:rFonts w:cs="Calibri"/>
          <w:b/>
          <w:bCs/>
          <w:color w:val="1D2228"/>
        </w:rPr>
        <w:t>Scholas</w:t>
      </w:r>
      <w:proofErr w:type="spellEnd"/>
      <w:r w:rsidRPr="0083458B">
        <w:rPr>
          <w:rFonts w:cs="Calibri"/>
          <w:b/>
          <w:bCs/>
          <w:color w:val="1D2228"/>
        </w:rPr>
        <w:t xml:space="preserve"> – </w:t>
      </w:r>
      <w:r w:rsidRPr="0083458B">
        <w:rPr>
          <w:rFonts w:cs="Calibri"/>
          <w:i/>
          <w:iCs/>
          <w:color w:val="1D2228"/>
        </w:rPr>
        <w:t>IT training and tuition assistance</w:t>
      </w:r>
      <w:r w:rsidRPr="0083458B">
        <w:rPr>
          <w:rFonts w:cs="Calibri"/>
          <w:color w:val="1D2228"/>
        </w:rPr>
        <w:t> to help men and women gain knowledge in a skill trade.</w:t>
      </w:r>
    </w:p>
    <w:p w14:paraId="589B64E0" w14:textId="25F960E3" w:rsidR="00C102FF" w:rsidRDefault="00C102FF" w:rsidP="003F2E37">
      <w:pPr>
        <w:numPr>
          <w:ilvl w:val="0"/>
          <w:numId w:val="1"/>
        </w:numPr>
        <w:spacing w:after="0" w:line="240" w:lineRule="auto"/>
        <w:rPr>
          <w:rFonts w:cs="Calibri"/>
          <w:color w:val="1D2228"/>
        </w:rPr>
      </w:pPr>
      <w:r w:rsidRPr="0083458B">
        <w:rPr>
          <w:rFonts w:cs="Calibri"/>
          <w:b/>
          <w:bCs/>
          <w:color w:val="1D2228"/>
        </w:rPr>
        <w:t>YMCA</w:t>
      </w:r>
      <w:r>
        <w:rPr>
          <w:rFonts w:cs="Calibri"/>
          <w:b/>
          <w:bCs/>
          <w:color w:val="1D2228"/>
        </w:rPr>
        <w:t xml:space="preserve"> of Central Ohio</w:t>
      </w:r>
      <w:r w:rsidRPr="0083458B">
        <w:rPr>
          <w:rFonts w:cs="Calibri"/>
          <w:b/>
          <w:bCs/>
          <w:color w:val="1D2228"/>
        </w:rPr>
        <w:t xml:space="preserve"> </w:t>
      </w:r>
      <w:r w:rsidRPr="00C32C7B">
        <w:rPr>
          <w:rFonts w:cs="Calibri"/>
          <w:b/>
          <w:bCs/>
          <w:i/>
          <w:iCs/>
          <w:color w:val="1D2228"/>
        </w:rPr>
        <w:t>–</w:t>
      </w:r>
      <w:r w:rsidRPr="0083458B">
        <w:rPr>
          <w:rFonts w:cs="Calibri"/>
          <w:b/>
          <w:bCs/>
          <w:color w:val="1D2228"/>
        </w:rPr>
        <w:t> </w:t>
      </w:r>
      <w:r w:rsidRPr="0083458B">
        <w:rPr>
          <w:rFonts w:cs="Calibri"/>
          <w:i/>
          <w:iCs/>
          <w:color w:val="1D2228"/>
        </w:rPr>
        <w:t>Stable Families</w:t>
      </w:r>
      <w:r w:rsidRPr="0083458B">
        <w:rPr>
          <w:rFonts w:cs="Calibri"/>
          <w:color w:val="1D2228"/>
        </w:rPr>
        <w:t>, assists families in increasing their household income.</w:t>
      </w:r>
    </w:p>
    <w:p w14:paraId="6B06A99F" w14:textId="77777777" w:rsidR="003F2E37" w:rsidRPr="003F2E37" w:rsidRDefault="003F2E37" w:rsidP="003F2E37">
      <w:pPr>
        <w:spacing w:after="0" w:line="240" w:lineRule="auto"/>
        <w:rPr>
          <w:rFonts w:cs="Calibri"/>
          <w:color w:val="1D2228"/>
        </w:rPr>
      </w:pPr>
    </w:p>
    <w:p w14:paraId="499A6542" w14:textId="31C26BB0" w:rsidR="00C102FF" w:rsidRPr="004C013E" w:rsidRDefault="00C102FF" w:rsidP="00C102FF">
      <w:pPr>
        <w:rPr>
          <w:rFonts w:cs="Calibri"/>
          <w:color w:val="1D2228"/>
        </w:rPr>
      </w:pPr>
      <w:r w:rsidRPr="00101735">
        <w:rPr>
          <w:rFonts w:cs="Calibri"/>
          <w:color w:val="000000"/>
        </w:rPr>
        <w:t xml:space="preserve">The </w:t>
      </w:r>
      <w:proofErr w:type="spellStart"/>
      <w:r w:rsidRPr="00101735">
        <w:rPr>
          <w:rFonts w:cs="Calibri"/>
          <w:color w:val="000000"/>
        </w:rPr>
        <w:t>WPCU</w:t>
      </w:r>
      <w:proofErr w:type="spellEnd"/>
      <w:r w:rsidRPr="00101735">
        <w:rPr>
          <w:rFonts w:cs="Calibri"/>
          <w:color w:val="000000"/>
        </w:rPr>
        <w:t xml:space="preserve"> Sunshine Community Fund is an employee-driven </w:t>
      </w:r>
      <w:r>
        <w:rPr>
          <w:rFonts w:cs="Calibri"/>
          <w:color w:val="000000"/>
        </w:rPr>
        <w:t xml:space="preserve">initiative. Throughout the year, </w:t>
      </w:r>
      <w:proofErr w:type="spellStart"/>
      <w:r w:rsidRPr="00101735">
        <w:rPr>
          <w:rFonts w:cs="Calibri"/>
          <w:color w:val="000000"/>
        </w:rPr>
        <w:t>WPCU</w:t>
      </w:r>
      <w:proofErr w:type="spellEnd"/>
      <w:r w:rsidRPr="00101735">
        <w:rPr>
          <w:rFonts w:cs="Calibri"/>
          <w:color w:val="000000"/>
        </w:rPr>
        <w:t xml:space="preserve"> partner-employees participate in numerous events and fundraisers to raise money for local nonprofit organizations. </w:t>
      </w:r>
      <w:r>
        <w:rPr>
          <w:rFonts w:cs="Calibri"/>
          <w:color w:val="000000"/>
        </w:rPr>
        <w:t>While</w:t>
      </w:r>
      <w:r w:rsidRPr="00101735">
        <w:rPr>
          <w:rFonts w:cs="Calibri"/>
          <w:color w:val="000000"/>
        </w:rPr>
        <w:t xml:space="preserve"> some fundraising activities were canceled or modified due to the COVID-19 pandemic, </w:t>
      </w:r>
      <w:proofErr w:type="spellStart"/>
      <w:r w:rsidRPr="00101735">
        <w:rPr>
          <w:rFonts w:cs="Calibri"/>
          <w:color w:val="000000"/>
        </w:rPr>
        <w:t>WPCU</w:t>
      </w:r>
      <w:proofErr w:type="spellEnd"/>
      <w:r w:rsidRPr="00101735">
        <w:rPr>
          <w:rFonts w:cs="Calibri"/>
          <w:color w:val="000000"/>
        </w:rPr>
        <w:t xml:space="preserve"> </w:t>
      </w:r>
      <w:r>
        <w:rPr>
          <w:rFonts w:cs="Calibri"/>
          <w:color w:val="000000"/>
        </w:rPr>
        <w:t xml:space="preserve">and our </w:t>
      </w:r>
      <w:r w:rsidRPr="00101735">
        <w:rPr>
          <w:rFonts w:cs="Calibri"/>
          <w:color w:val="000000"/>
        </w:rPr>
        <w:t>business partners stayed committed to supporting the Sunshine Community Fund</w:t>
      </w:r>
      <w:r>
        <w:rPr>
          <w:rFonts w:cs="Calibri"/>
          <w:color w:val="000000"/>
        </w:rPr>
        <w:t>.</w:t>
      </w:r>
    </w:p>
    <w:p w14:paraId="75E7E6D8" w14:textId="010ED9B3" w:rsidR="00C102FF" w:rsidRPr="00C102FF" w:rsidRDefault="00C102FF" w:rsidP="00C102FF">
      <w:pPr>
        <w:spacing w:line="250" w:lineRule="auto"/>
        <w:ind w:left="40" w:right="200"/>
        <w:rPr>
          <w:rFonts w:eastAsia="Arial" w:cs="Calibri"/>
        </w:rPr>
      </w:pPr>
      <w:r w:rsidRPr="008C7E0D">
        <w:rPr>
          <w:rFonts w:eastAsia="Arial" w:cs="Calibri"/>
        </w:rPr>
        <w:t xml:space="preserve">“Over the years, </w:t>
      </w:r>
      <w:proofErr w:type="spellStart"/>
      <w:r w:rsidRPr="008C7E0D">
        <w:rPr>
          <w:rFonts w:eastAsia="Arial" w:cs="Calibri"/>
        </w:rPr>
        <w:t>WPCU</w:t>
      </w:r>
      <w:proofErr w:type="spellEnd"/>
      <w:r w:rsidRPr="008C7E0D">
        <w:rPr>
          <w:rFonts w:eastAsia="Arial" w:cs="Calibri"/>
        </w:rPr>
        <w:t xml:space="preserve"> partner-employees have raised more than $</w:t>
      </w:r>
      <w:r>
        <w:rPr>
          <w:rFonts w:eastAsia="Arial" w:cs="Calibri"/>
        </w:rPr>
        <w:t>2</w:t>
      </w:r>
      <w:r w:rsidRPr="008C7E0D">
        <w:rPr>
          <w:rFonts w:eastAsia="Arial" w:cs="Calibri"/>
        </w:rPr>
        <w:t xml:space="preserve"> mill</w:t>
      </w:r>
      <w:r>
        <w:rPr>
          <w:rFonts w:eastAsia="Arial" w:cs="Calibri"/>
        </w:rPr>
        <w:t>io</w:t>
      </w:r>
      <w:r w:rsidRPr="008C7E0D">
        <w:rPr>
          <w:rFonts w:eastAsia="Arial" w:cs="Calibri"/>
        </w:rPr>
        <w:t xml:space="preserve">n to support </w:t>
      </w:r>
      <w:r>
        <w:rPr>
          <w:rFonts w:eastAsia="Arial" w:cs="Calibri"/>
        </w:rPr>
        <w:t xml:space="preserve">many </w:t>
      </w:r>
      <w:r w:rsidRPr="008C7E0D">
        <w:rPr>
          <w:rFonts w:eastAsia="Arial" w:cs="Calibri"/>
        </w:rPr>
        <w:t xml:space="preserve">area organizations,” shared Tracy </w:t>
      </w:r>
      <w:proofErr w:type="spellStart"/>
      <w:r w:rsidRPr="008C7E0D">
        <w:rPr>
          <w:rFonts w:eastAsia="Arial" w:cs="Calibri"/>
        </w:rPr>
        <w:t>Szarzi-Fors</w:t>
      </w:r>
      <w:proofErr w:type="spellEnd"/>
      <w:r w:rsidRPr="008C7E0D">
        <w:rPr>
          <w:rFonts w:eastAsia="Arial" w:cs="Calibri"/>
        </w:rPr>
        <w:t>, Wright-</w:t>
      </w:r>
      <w:proofErr w:type="spellStart"/>
      <w:r w:rsidRPr="008C7E0D">
        <w:rPr>
          <w:rFonts w:eastAsia="Arial" w:cs="Calibri"/>
        </w:rPr>
        <w:t>Patt</w:t>
      </w:r>
      <w:proofErr w:type="spellEnd"/>
      <w:r w:rsidRPr="008C7E0D">
        <w:rPr>
          <w:rFonts w:eastAsia="Arial" w:cs="Calibri"/>
        </w:rPr>
        <w:t xml:space="preserve"> Credit Union’s Vice President of </w:t>
      </w:r>
      <w:proofErr w:type="gramStart"/>
      <w:r w:rsidRPr="008C7E0D">
        <w:rPr>
          <w:rFonts w:eastAsia="Arial" w:cs="Calibri"/>
        </w:rPr>
        <w:t>Marketing</w:t>
      </w:r>
      <w:proofErr w:type="gramEnd"/>
      <w:r w:rsidRPr="008C7E0D">
        <w:rPr>
          <w:rFonts w:eastAsia="Arial" w:cs="Calibri"/>
        </w:rPr>
        <w:t xml:space="preserve"> and Business Development. “Historically, the fund has been used to raise money specifically for two or three ‘Sunshine Fund Community Champions.’ However</w:t>
      </w:r>
      <w:r w:rsidRPr="00015816">
        <w:rPr>
          <w:rFonts w:eastAsia="Arial" w:cs="Calibri"/>
        </w:rPr>
        <w:t>,</w:t>
      </w:r>
      <w:r w:rsidRPr="008C7E0D">
        <w:rPr>
          <w:rFonts w:eastAsia="Arial" w:cs="Calibri"/>
        </w:rPr>
        <w:t xml:space="preserve"> recent changes</w:t>
      </w:r>
      <w:r>
        <w:rPr>
          <w:rFonts w:eastAsia="Arial" w:cs="Calibri"/>
        </w:rPr>
        <w:t xml:space="preserve"> now allow</w:t>
      </w:r>
      <w:r w:rsidRPr="008C7E0D">
        <w:rPr>
          <w:rFonts w:eastAsia="Arial" w:cs="Calibri"/>
        </w:rPr>
        <w:t xml:space="preserve"> us to help even more organizations and the </w:t>
      </w:r>
      <w:r>
        <w:rPr>
          <w:rFonts w:eastAsia="Arial" w:cs="Calibri"/>
        </w:rPr>
        <w:t>individuals</w:t>
      </w:r>
      <w:r w:rsidRPr="008C7E0D">
        <w:rPr>
          <w:rFonts w:eastAsia="Arial" w:cs="Calibri"/>
        </w:rPr>
        <w:t xml:space="preserve"> they serve.”</w:t>
      </w:r>
    </w:p>
    <w:p w14:paraId="5C8FD61E" w14:textId="77777777" w:rsidR="00C102FF" w:rsidRDefault="00C102FF" w:rsidP="00C102FF">
      <w:pPr>
        <w:contextualSpacing/>
        <w:rPr>
          <w:rFonts w:cs="Calibri"/>
        </w:rPr>
      </w:pPr>
      <w:r w:rsidRPr="008C7E0D">
        <w:rPr>
          <w:rFonts w:cs="Calibri"/>
          <w:b/>
          <w:bCs/>
        </w:rPr>
        <w:t>Recent changes to the Sunshine Community Fund</w:t>
      </w:r>
      <w:r w:rsidRPr="008C7E0D">
        <w:rPr>
          <w:rFonts w:cs="Calibri"/>
        </w:rPr>
        <w:t xml:space="preserve"> </w:t>
      </w:r>
    </w:p>
    <w:p w14:paraId="0C1F9A93" w14:textId="0A43CA54" w:rsidR="00C102FF" w:rsidRPr="00C102FF" w:rsidRDefault="00C102FF" w:rsidP="00C102FF">
      <w:pPr>
        <w:rPr>
          <w:rFonts w:cs="Calibri"/>
          <w:b/>
          <w:bCs/>
        </w:rPr>
      </w:pPr>
      <w:r w:rsidRPr="00832DAC">
        <w:rPr>
          <w:rFonts w:cs="Calibri"/>
        </w:rPr>
        <w:t>In September 2020, Wright-</w:t>
      </w:r>
      <w:proofErr w:type="spellStart"/>
      <w:r w:rsidRPr="00832DAC">
        <w:rPr>
          <w:rFonts w:cs="Calibri"/>
        </w:rPr>
        <w:t>Patt</w:t>
      </w:r>
      <w:proofErr w:type="spellEnd"/>
      <w:r w:rsidRPr="00832DAC">
        <w:rPr>
          <w:rFonts w:cs="Calibri"/>
        </w:rPr>
        <w:t xml:space="preserve"> Credit Union announced changes to the Sunshine Community Fund. Instead of raising money for specific organizations, money is now raised for the Fund itself, which provides greater </w:t>
      </w:r>
      <w:r w:rsidRPr="00832DAC">
        <w:rPr>
          <w:rFonts w:cs="Calibri"/>
        </w:rPr>
        <w:lastRenderedPageBreak/>
        <w:t xml:space="preserve">flexibility in awarding </w:t>
      </w:r>
      <w:r>
        <w:rPr>
          <w:rFonts w:cs="Calibri"/>
        </w:rPr>
        <w:t>money</w:t>
      </w:r>
      <w:r w:rsidRPr="00832DAC">
        <w:rPr>
          <w:rFonts w:cs="Calibri"/>
        </w:rPr>
        <w:t xml:space="preserve"> to more organizations twice a year based on needs. </w:t>
      </w:r>
      <w:r>
        <w:rPr>
          <w:rFonts w:cs="Calibri"/>
        </w:rPr>
        <w:t>Moving forward, these</w:t>
      </w:r>
      <w:r w:rsidRPr="00832DAC">
        <w:rPr>
          <w:rFonts w:cs="Calibri"/>
        </w:rPr>
        <w:t xml:space="preserve"> award</w:t>
      </w:r>
      <w:r>
        <w:rPr>
          <w:rFonts w:cs="Calibri"/>
        </w:rPr>
        <w:t>s will occur</w:t>
      </w:r>
      <w:r w:rsidRPr="00832DAC">
        <w:rPr>
          <w:rFonts w:cs="Calibri"/>
        </w:rPr>
        <w:t xml:space="preserve"> every March, and again for our second quarter disbursements in August.</w:t>
      </w:r>
    </w:p>
    <w:p w14:paraId="3AA5060B" w14:textId="449D24AD" w:rsidR="00C102FF" w:rsidRPr="00C102FF" w:rsidRDefault="00C102FF" w:rsidP="00C102FF">
      <w:pPr>
        <w:spacing w:line="250" w:lineRule="auto"/>
        <w:ind w:right="240"/>
        <w:rPr>
          <w:rFonts w:eastAsia="Arial" w:cs="Calibri"/>
          <w:color w:val="000000"/>
        </w:rPr>
      </w:pPr>
      <w:r w:rsidRPr="00832DAC">
        <w:rPr>
          <w:rFonts w:eastAsia="Arial" w:cs="Calibri"/>
        </w:rPr>
        <w:t xml:space="preserve">Applications for our August Sunshine Community Fund awards will open in </w:t>
      </w:r>
      <w:r w:rsidRPr="00015816">
        <w:rPr>
          <w:rFonts w:eastAsia="Arial" w:cs="Calibri"/>
        </w:rPr>
        <w:t>May.</w:t>
      </w:r>
      <w:r w:rsidRPr="00832DAC">
        <w:rPr>
          <w:rFonts w:eastAsia="Arial" w:cs="Calibri"/>
        </w:rPr>
        <w:t xml:space="preserve"> For more information and details about Wright-</w:t>
      </w:r>
      <w:proofErr w:type="spellStart"/>
      <w:r w:rsidRPr="00832DAC">
        <w:rPr>
          <w:rFonts w:eastAsia="Arial" w:cs="Calibri"/>
        </w:rPr>
        <w:t>Patt</w:t>
      </w:r>
      <w:proofErr w:type="spellEnd"/>
      <w:r w:rsidRPr="00832DAC">
        <w:rPr>
          <w:rFonts w:eastAsia="Arial" w:cs="Calibri"/>
        </w:rPr>
        <w:t xml:space="preserve"> Credit Union’s community giving initiatives, visit </w:t>
      </w:r>
      <w:hyperlink r:id="rId9" w:history="1">
        <w:r w:rsidRPr="00832DAC">
          <w:rPr>
            <w:rStyle w:val="Hyperlink"/>
            <w:rFonts w:eastAsia="Arial" w:cs="Calibri"/>
          </w:rPr>
          <w:t>www.WPCU.coop/SunshineCommunityFund</w:t>
        </w:r>
      </w:hyperlink>
    </w:p>
    <w:p w14:paraId="7282D9F8" w14:textId="77777777" w:rsidR="00C102FF" w:rsidRPr="006E2085" w:rsidRDefault="00C102FF" w:rsidP="00C102FF">
      <w:pPr>
        <w:pStyle w:val="Default"/>
        <w:rPr>
          <w:sz w:val="22"/>
          <w:szCs w:val="22"/>
        </w:rPr>
      </w:pPr>
      <w:bookmarkStart w:id="2" w:name="_Hlk68087691"/>
      <w:r w:rsidRPr="006E2085">
        <w:rPr>
          <w:b/>
          <w:bCs/>
          <w:sz w:val="22"/>
          <w:szCs w:val="22"/>
        </w:rPr>
        <w:t xml:space="preserve">About the Sunshine Community Fund </w:t>
      </w:r>
    </w:p>
    <w:p w14:paraId="1BCA937D" w14:textId="68578E56" w:rsidR="00C102FF" w:rsidRPr="00C102FF" w:rsidRDefault="00C102FF" w:rsidP="00C102FF">
      <w:pPr>
        <w:rPr>
          <w:rFonts w:cs="Calibri"/>
        </w:rPr>
      </w:pPr>
      <w:r w:rsidRPr="00C26E92">
        <w:rPr>
          <w:i/>
          <w:iCs/>
        </w:rPr>
        <w:t>The Sunshine Community Fund’s name was derived from Wright-</w:t>
      </w:r>
      <w:proofErr w:type="spellStart"/>
      <w:r w:rsidRPr="00C26E92">
        <w:rPr>
          <w:i/>
          <w:iCs/>
        </w:rPr>
        <w:t>Patt</w:t>
      </w:r>
      <w:proofErr w:type="spellEnd"/>
      <w:r w:rsidRPr="00C26E92">
        <w:rPr>
          <w:i/>
          <w:iCs/>
        </w:rPr>
        <w:t xml:space="preserve"> Credit Union’s “people helping people” philosophy that has been around since the beginning in the 1930s. Back then, times were hard for </w:t>
      </w:r>
      <w:proofErr w:type="gramStart"/>
      <w:r w:rsidRPr="00C26E92">
        <w:rPr>
          <w:i/>
          <w:iCs/>
        </w:rPr>
        <w:t>everyone</w:t>
      </w:r>
      <w:proofErr w:type="gramEnd"/>
      <w:r w:rsidRPr="00C26E92">
        <w:rPr>
          <w:i/>
          <w:iCs/>
        </w:rPr>
        <w:t xml:space="preserve"> and those who didn’t work didn’t get paid. Government workers on today’s Wright-Patterson Air Force Base joined together to contribute 25 cents a pay period to help a fellow coworker who was ill and in need of financial support, until he could return to work.</w:t>
      </w:r>
      <w:r w:rsidRPr="00C26E92">
        <w:t xml:space="preserve"> </w:t>
      </w:r>
      <w:r w:rsidRPr="00C26E92">
        <w:rPr>
          <w:i/>
          <w:iCs/>
        </w:rPr>
        <w:t>Since its inception in 2015</w:t>
      </w:r>
      <w:r w:rsidRPr="00C26E92">
        <w:t>,</w:t>
      </w:r>
      <w:r w:rsidRPr="00C26E92">
        <w:rPr>
          <w:i/>
          <w:iCs/>
        </w:rPr>
        <w:t xml:space="preserve"> the Sunshine Community Fund has raised over $2 million to support local nonprofits including: Ronald McDonald House of Dayton, Dayton Children’s Hospital, March of Dimes, Fisher/Nightingale Houses, Gala of Hope, Crayons to Classrooms, United Rehabilitation Services, Habitat for Humanity, Goodwill Easter Seals Miami Valley. </w:t>
      </w:r>
      <w:proofErr w:type="gramStart"/>
      <w:r w:rsidRPr="00C26E92">
        <w:rPr>
          <w:i/>
          <w:iCs/>
        </w:rPr>
        <w:t xml:space="preserve">Artemis Domestic Violence Center, </w:t>
      </w:r>
      <w:proofErr w:type="spellStart"/>
      <w:r w:rsidRPr="00C26E92">
        <w:rPr>
          <w:i/>
          <w:iCs/>
        </w:rPr>
        <w:t>Homefull</w:t>
      </w:r>
      <w:proofErr w:type="spellEnd"/>
      <w:r w:rsidRPr="00C26E92">
        <w:rPr>
          <w:i/>
          <w:iCs/>
        </w:rPr>
        <w:t>, St. Vincent de Paul, and Rebuilding Together Dayton</w:t>
      </w:r>
      <w:r w:rsidRPr="00C26E92">
        <w:t>.</w:t>
      </w:r>
      <w:proofErr w:type="gramEnd"/>
      <w:r w:rsidRPr="00C26E92">
        <w:t xml:space="preserve"> </w:t>
      </w:r>
      <w:r w:rsidRPr="00C26E92">
        <w:rPr>
          <w:i/>
          <w:iCs/>
        </w:rPr>
        <w:t xml:space="preserve">The </w:t>
      </w:r>
      <w:proofErr w:type="spellStart"/>
      <w:r w:rsidRPr="00C26E92">
        <w:rPr>
          <w:i/>
          <w:iCs/>
        </w:rPr>
        <w:t>WPCU</w:t>
      </w:r>
      <w:proofErr w:type="spellEnd"/>
      <w:r w:rsidRPr="00C26E92">
        <w:rPr>
          <w:i/>
          <w:iCs/>
        </w:rPr>
        <w:t xml:space="preserve"> Sunshine Community Fund is a 501(c)(3) tax-exempt public charity and donor contributions are 100% tax-deductible</w:t>
      </w:r>
      <w:r>
        <w:rPr>
          <w:i/>
          <w:iCs/>
        </w:rPr>
        <w:t>.</w:t>
      </w:r>
      <w:bookmarkEnd w:id="2"/>
    </w:p>
    <w:p w14:paraId="4588E1B9" w14:textId="77777777" w:rsidR="00C102FF" w:rsidRPr="0083458B" w:rsidRDefault="00C102FF" w:rsidP="00C102FF">
      <w:pPr>
        <w:contextualSpacing/>
        <w:rPr>
          <w:rFonts w:cs="Calibri"/>
          <w:b/>
        </w:rPr>
      </w:pPr>
      <w:r w:rsidRPr="0083458B">
        <w:rPr>
          <w:rFonts w:cs="Calibri"/>
          <w:b/>
        </w:rPr>
        <w:t>About Wright</w:t>
      </w:r>
      <w:r w:rsidRPr="0083458B">
        <w:rPr>
          <w:rFonts w:eastAsia="Cambria Math" w:cs="Calibri"/>
        </w:rPr>
        <w:t>-</w:t>
      </w:r>
      <w:proofErr w:type="spellStart"/>
      <w:r w:rsidRPr="0083458B">
        <w:rPr>
          <w:rFonts w:cs="Calibri"/>
          <w:b/>
        </w:rPr>
        <w:t>Patt</w:t>
      </w:r>
      <w:proofErr w:type="spellEnd"/>
      <w:r w:rsidRPr="0083458B">
        <w:rPr>
          <w:rFonts w:cs="Calibri"/>
          <w:b/>
        </w:rPr>
        <w:t xml:space="preserve"> Credit Union</w:t>
      </w:r>
    </w:p>
    <w:p w14:paraId="003E2E54" w14:textId="01FC6B4A" w:rsidR="00C102FF" w:rsidRPr="00C102FF" w:rsidRDefault="00C102FF" w:rsidP="00C102FF">
      <w:pPr>
        <w:spacing w:line="267" w:lineRule="exact"/>
        <w:rPr>
          <w:rFonts w:eastAsia="Times New Roman" w:cs="Calibri"/>
        </w:rPr>
      </w:pPr>
      <w:r w:rsidRPr="0083458B">
        <w:rPr>
          <w:rStyle w:val="Emphasis"/>
          <w:rFonts w:cs="Calibri"/>
          <w:color w:val="30363B"/>
          <w:shd w:val="clear" w:color="auto" w:fill="FFFFFF"/>
        </w:rPr>
        <w:t>Established in 1932, Wright‐</w:t>
      </w:r>
      <w:proofErr w:type="spellStart"/>
      <w:r w:rsidRPr="0083458B">
        <w:rPr>
          <w:rStyle w:val="Emphasis"/>
          <w:rFonts w:cs="Calibri"/>
          <w:color w:val="30363B"/>
          <w:shd w:val="clear" w:color="auto" w:fill="FFFFFF"/>
        </w:rPr>
        <w:t>Patt</w:t>
      </w:r>
      <w:proofErr w:type="spellEnd"/>
      <w:r w:rsidRPr="0083458B">
        <w:rPr>
          <w:rStyle w:val="Emphasis"/>
          <w:rFonts w:cs="Calibri"/>
          <w:color w:val="30363B"/>
          <w:shd w:val="clear" w:color="auto" w:fill="FFFFFF"/>
        </w:rPr>
        <w:t xml:space="preserve"> Credit Union is a member‐owned, not‐for‐profit financial cooperative proudly serving Central and Southwest Ohio with more than </w:t>
      </w:r>
      <w:r w:rsidRPr="00015816">
        <w:rPr>
          <w:rStyle w:val="Emphasis"/>
          <w:rFonts w:cs="Calibri"/>
          <w:color w:val="30363B"/>
          <w:shd w:val="clear" w:color="auto" w:fill="FFFFFF"/>
        </w:rPr>
        <w:t>421,000 members and over $6.2 billion in assets</w:t>
      </w:r>
      <w:r w:rsidRPr="0083458B">
        <w:rPr>
          <w:rStyle w:val="Emphasis"/>
          <w:rFonts w:cs="Calibri"/>
          <w:color w:val="30363B"/>
          <w:shd w:val="clear" w:color="auto" w:fill="FFFFFF"/>
        </w:rPr>
        <w:t>. As a cooperative, Wright‐</w:t>
      </w:r>
      <w:proofErr w:type="spellStart"/>
      <w:r w:rsidRPr="0083458B">
        <w:rPr>
          <w:rStyle w:val="Emphasis"/>
          <w:rFonts w:cs="Calibri"/>
          <w:color w:val="30363B"/>
          <w:shd w:val="clear" w:color="auto" w:fill="FFFFFF"/>
        </w:rPr>
        <w:t>Patt</w:t>
      </w:r>
      <w:proofErr w:type="spellEnd"/>
      <w:r w:rsidRPr="0083458B">
        <w:rPr>
          <w:rStyle w:val="Emphasis"/>
          <w:rFonts w:cs="Calibri"/>
          <w:color w:val="30363B"/>
          <w:shd w:val="clear" w:color="auto" w:fill="FFFFFF"/>
        </w:rPr>
        <w:t xml:space="preserve"> Credit Union joins members together, pooling financial resources to meet the needs of all</w:t>
      </w:r>
      <w:proofErr w:type="gramStart"/>
      <w:r w:rsidRPr="0083458B">
        <w:rPr>
          <w:rStyle w:val="Emphasis"/>
          <w:rFonts w:cs="Calibri"/>
          <w:color w:val="30363B"/>
          <w:shd w:val="clear" w:color="auto" w:fill="FFFFFF"/>
        </w:rPr>
        <w:t xml:space="preserve">.  </w:t>
      </w:r>
      <w:proofErr w:type="gramEnd"/>
      <w:r w:rsidRPr="0083458B">
        <w:rPr>
          <w:rStyle w:val="Emphasis"/>
          <w:rFonts w:cs="Calibri"/>
          <w:color w:val="30363B"/>
          <w:shd w:val="clear" w:color="auto" w:fill="FFFFFF"/>
        </w:rPr>
        <w:t>The pooled resources provide the capital to run a strong and efficient operation. Wright‐</w:t>
      </w:r>
      <w:proofErr w:type="spellStart"/>
      <w:r w:rsidRPr="0083458B">
        <w:rPr>
          <w:rStyle w:val="Emphasis"/>
          <w:rFonts w:cs="Calibri"/>
          <w:color w:val="30363B"/>
          <w:shd w:val="clear" w:color="auto" w:fill="FFFFFF"/>
        </w:rPr>
        <w:t>Patt</w:t>
      </w:r>
      <w:proofErr w:type="spellEnd"/>
      <w:r w:rsidRPr="0083458B">
        <w:rPr>
          <w:rStyle w:val="Emphasis"/>
          <w:rFonts w:cs="Calibri"/>
          <w:color w:val="30363B"/>
          <w:shd w:val="clear" w:color="auto" w:fill="FFFFFF"/>
        </w:rPr>
        <w:t xml:space="preserve"> Credit Union is headquartered in Beavercreek, Ohio, and has convenient Member Centers throughout Central and Southwest Ohio. Wright‐</w:t>
      </w:r>
      <w:proofErr w:type="spellStart"/>
      <w:r w:rsidRPr="0083458B">
        <w:rPr>
          <w:rStyle w:val="Emphasis"/>
          <w:rFonts w:cs="Calibri"/>
          <w:color w:val="30363B"/>
          <w:shd w:val="clear" w:color="auto" w:fill="FFFFFF"/>
        </w:rPr>
        <w:t>Patt</w:t>
      </w:r>
      <w:proofErr w:type="spellEnd"/>
      <w:r w:rsidRPr="0083458B">
        <w:rPr>
          <w:rStyle w:val="Emphasis"/>
          <w:rFonts w:cs="Calibri"/>
          <w:color w:val="30363B"/>
          <w:shd w:val="clear" w:color="auto" w:fill="FFFFFF"/>
        </w:rPr>
        <w:t xml:space="preserve"> Credit Union's mission is to help people through life by allowing members to achieve a greater degree of economic independence. Visit Wright‐</w:t>
      </w:r>
      <w:proofErr w:type="spellStart"/>
      <w:r w:rsidRPr="0083458B">
        <w:rPr>
          <w:rStyle w:val="Emphasis"/>
          <w:rFonts w:cs="Calibri"/>
          <w:color w:val="30363B"/>
          <w:shd w:val="clear" w:color="auto" w:fill="FFFFFF"/>
        </w:rPr>
        <w:t>Patt</w:t>
      </w:r>
      <w:proofErr w:type="spellEnd"/>
      <w:r w:rsidRPr="0083458B">
        <w:rPr>
          <w:rStyle w:val="Emphasis"/>
          <w:rFonts w:cs="Calibri"/>
          <w:color w:val="30363B"/>
          <w:shd w:val="clear" w:color="auto" w:fill="FFFFFF"/>
        </w:rPr>
        <w:t xml:space="preserve"> Credit Union's website at www.wpcu.coop for more information.</w:t>
      </w:r>
    </w:p>
    <w:p w14:paraId="6C83F75F" w14:textId="77777777" w:rsidR="00C102FF" w:rsidRDefault="00C102FF" w:rsidP="00C102FF">
      <w:pPr>
        <w:spacing w:line="390" w:lineRule="exact"/>
        <w:rPr>
          <w:rFonts w:ascii="Times New Roman" w:eastAsia="Times New Roman" w:hAnsi="Times New Roman"/>
        </w:rPr>
      </w:pPr>
    </w:p>
    <w:p w14:paraId="1DB5F3D2" w14:textId="77777777" w:rsidR="00C102FF" w:rsidRPr="00B46603" w:rsidRDefault="00C102FF" w:rsidP="00C102FF">
      <w:pPr>
        <w:spacing w:line="0" w:lineRule="atLeast"/>
        <w:ind w:left="4540"/>
        <w:rPr>
          <w:rFonts w:ascii="Arial" w:eastAsia="Arial" w:hAnsi="Arial"/>
        </w:rPr>
      </w:pPr>
      <w:r>
        <w:rPr>
          <w:rFonts w:ascii="Arial" w:eastAsia="Arial" w:hAnsi="Arial"/>
        </w:rPr>
        <w:t>###</w:t>
      </w:r>
      <w:bookmarkEnd w:id="0"/>
    </w:p>
    <w:p w14:paraId="0E96288B" w14:textId="77777777" w:rsidR="00C102FF" w:rsidRPr="00286587" w:rsidRDefault="00C102FF" w:rsidP="00286587">
      <w:pPr>
        <w:contextualSpacing/>
        <w:jc w:val="center"/>
        <w:rPr>
          <w:rFonts w:ascii="Arial" w:hAnsi="Arial" w:cs="Arial"/>
          <w:sz w:val="20"/>
          <w:szCs w:val="20"/>
        </w:rPr>
      </w:pPr>
    </w:p>
    <w:sectPr w:rsidR="00C102FF" w:rsidRPr="00286587" w:rsidSect="00C102FF">
      <w:headerReference w:type="default" r:id="rId10"/>
      <w:footerReference w:type="default" r:id="rId11"/>
      <w:pgSz w:w="12240" w:h="15840"/>
      <w:pgMar w:top="1440" w:right="1080" w:bottom="1440" w:left="1080" w:header="720" w:footer="48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4B36A1" w14:textId="77777777" w:rsidR="00011B96" w:rsidRDefault="00011B96" w:rsidP="0003472C">
      <w:pPr>
        <w:spacing w:after="0" w:line="240" w:lineRule="auto"/>
      </w:pPr>
      <w:r>
        <w:separator/>
      </w:r>
    </w:p>
  </w:endnote>
  <w:endnote w:type="continuationSeparator" w:id="0">
    <w:p w14:paraId="3EF8F67E" w14:textId="77777777" w:rsidR="00011B96" w:rsidRDefault="00011B96" w:rsidP="00034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istral">
    <w:panose1 w:val="03090702030407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Open Sans">
    <w:altName w:val="Calibri"/>
    <w:charset w:val="00"/>
    <w:family w:val="swiss"/>
    <w:pitch w:val="variable"/>
    <w:sig w:usb0="E00002EF" w:usb1="4000205B" w:usb2="00000028" w:usb3="00000000" w:csb0="0000019F" w:csb1="00000000"/>
  </w:font>
  <w:font w:name="Cambria Math">
    <w:panose1 w:val="02040503050406030204"/>
    <w:charset w:val="00"/>
    <w:family w:val="auto"/>
    <w:pitch w:val="variable"/>
    <w:sig w:usb0="E00002FF" w:usb1="420024FF" w:usb2="00000000" w:usb3="00000000" w:csb0="0000019F" w:csb1="00000000"/>
  </w:font>
  <w:font w:name="Palatino Linotype">
    <w:panose1 w:val="02040502050505030304"/>
    <w:charset w:val="00"/>
    <w:family w:val="auto"/>
    <w:pitch w:val="variable"/>
    <w:sig w:usb0="E0000287" w:usb1="40000013"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150B6" w14:textId="77777777" w:rsidR="00D23325" w:rsidRPr="00C42E80" w:rsidRDefault="00D23325" w:rsidP="006B219C">
    <w:pPr>
      <w:pStyle w:val="Header"/>
      <w:tabs>
        <w:tab w:val="clear" w:pos="9360"/>
      </w:tabs>
      <w:ind w:left="-288" w:right="-288"/>
      <w:jc w:val="center"/>
      <w:rPr>
        <w:rFonts w:ascii="Palatino Linotype" w:hAnsi="Palatino Linotype" w:cs="Times New Roman"/>
        <w:color w:val="1F3C6B"/>
        <w:sz w:val="17"/>
        <w:szCs w:val="17"/>
      </w:rPr>
    </w:pPr>
    <w:r w:rsidRPr="00C42E80">
      <w:rPr>
        <w:rFonts w:ascii="Palatino Linotype" w:hAnsi="Palatino Linotype" w:cs="Times New Roman"/>
        <w:color w:val="1F3C6B"/>
        <w:sz w:val="17"/>
        <w:szCs w:val="17"/>
      </w:rPr>
      <w:t xml:space="preserve">Corporate Offices: </w:t>
    </w:r>
    <w:r w:rsidRPr="00C42E80">
      <w:rPr>
        <w:rFonts w:ascii="Palatino Linotype" w:hAnsi="Palatino Linotype" w:cs="Times New Roman"/>
        <w:color w:val="1F3C6B"/>
        <w:sz w:val="12"/>
        <w:szCs w:val="17"/>
        <w:vertAlign w:val="superscript"/>
      </w:rPr>
      <w:t>●</w:t>
    </w:r>
    <w:r w:rsidRPr="00C42E80">
      <w:rPr>
        <w:rFonts w:ascii="Palatino Linotype" w:hAnsi="Palatino Linotype" w:cs="Times New Roman"/>
        <w:color w:val="1F3C6B"/>
        <w:sz w:val="17"/>
        <w:szCs w:val="17"/>
      </w:rPr>
      <w:t xml:space="preserve"> 3560 Pentagon Blvd. </w:t>
    </w:r>
    <w:proofErr w:type="gramStart"/>
    <w:r w:rsidRPr="00C42E80">
      <w:rPr>
        <w:rFonts w:ascii="Palatino Linotype" w:hAnsi="Palatino Linotype" w:cs="Times New Roman"/>
        <w:color w:val="1F3C6B"/>
        <w:sz w:val="12"/>
        <w:szCs w:val="17"/>
        <w:vertAlign w:val="superscript"/>
      </w:rPr>
      <w:t>●</w:t>
    </w:r>
    <w:r w:rsidRPr="00C42E80">
      <w:rPr>
        <w:rFonts w:ascii="Palatino Linotype" w:hAnsi="Palatino Linotype" w:cs="Times New Roman"/>
        <w:color w:val="1F3C6B"/>
        <w:sz w:val="17"/>
        <w:szCs w:val="17"/>
      </w:rPr>
      <w:t xml:space="preserve">  Beavercreek</w:t>
    </w:r>
    <w:proofErr w:type="gramEnd"/>
    <w:r w:rsidRPr="00C42E80">
      <w:rPr>
        <w:rFonts w:ascii="Palatino Linotype" w:hAnsi="Palatino Linotype" w:cs="Times New Roman"/>
        <w:color w:val="1F3C6B"/>
        <w:sz w:val="17"/>
        <w:szCs w:val="17"/>
      </w:rPr>
      <w:t xml:space="preserve">, OH  </w:t>
    </w:r>
    <w:r w:rsidRPr="00C42E80">
      <w:rPr>
        <w:rFonts w:ascii="Palatino Linotype" w:hAnsi="Palatino Linotype" w:cs="Times New Roman"/>
        <w:color w:val="1F3C6B"/>
        <w:sz w:val="12"/>
        <w:szCs w:val="17"/>
        <w:vertAlign w:val="superscript"/>
      </w:rPr>
      <w:t>●</w:t>
    </w:r>
    <w:r w:rsidRPr="00C42E80">
      <w:rPr>
        <w:rFonts w:ascii="Palatino Linotype" w:hAnsi="Palatino Linotype" w:cs="Times New Roman"/>
        <w:color w:val="1F3C6B"/>
        <w:sz w:val="17"/>
        <w:szCs w:val="17"/>
      </w:rPr>
      <w:t xml:space="preserve">  45431-1706 </w:t>
    </w:r>
    <w:r w:rsidRPr="00C42E80">
      <w:rPr>
        <w:rFonts w:ascii="Palatino Linotype" w:hAnsi="Palatino Linotype" w:cs="Times New Roman"/>
        <w:color w:val="1F3C6B"/>
        <w:sz w:val="12"/>
        <w:szCs w:val="17"/>
        <w:vertAlign w:val="superscript"/>
      </w:rPr>
      <w:t>●</w:t>
    </w:r>
    <w:r w:rsidRPr="00C42E80">
      <w:rPr>
        <w:rFonts w:ascii="Palatino Linotype" w:hAnsi="Palatino Linotype" w:cs="Times New Roman"/>
        <w:color w:val="1F3C6B"/>
        <w:sz w:val="17"/>
        <w:szCs w:val="17"/>
      </w:rPr>
      <w:t xml:space="preserve"> (937)</w:t>
    </w:r>
    <w:r>
      <w:rPr>
        <w:rFonts w:ascii="Palatino Linotype" w:hAnsi="Palatino Linotype" w:cs="Times New Roman"/>
        <w:color w:val="1F3C6B"/>
        <w:sz w:val="17"/>
        <w:szCs w:val="17"/>
      </w:rPr>
      <w:t xml:space="preserve"> </w:t>
    </w:r>
    <w:r w:rsidRPr="00C42E80">
      <w:rPr>
        <w:rFonts w:ascii="Palatino Linotype" w:hAnsi="Palatino Linotype" w:cs="Times New Roman"/>
        <w:color w:val="1F3C6B"/>
        <w:sz w:val="17"/>
        <w:szCs w:val="17"/>
      </w:rPr>
      <w:t xml:space="preserve">912-7000 </w:t>
    </w:r>
    <w:r w:rsidRPr="00C42E80">
      <w:rPr>
        <w:rFonts w:ascii="Palatino Linotype" w:hAnsi="Palatino Linotype" w:cs="Times New Roman"/>
        <w:color w:val="1F3C6B"/>
        <w:sz w:val="12"/>
        <w:szCs w:val="17"/>
        <w:vertAlign w:val="superscript"/>
      </w:rPr>
      <w:t>●</w:t>
    </w:r>
    <w:r w:rsidRPr="00C42E80">
      <w:rPr>
        <w:rFonts w:ascii="Palatino Linotype" w:hAnsi="Palatino Linotype" w:cs="Times New Roman"/>
        <w:color w:val="1F3C6B"/>
        <w:sz w:val="17"/>
        <w:szCs w:val="17"/>
      </w:rPr>
      <w:t xml:space="preserve"> (800) 762-0047 </w:t>
    </w:r>
    <w:r w:rsidRPr="00C42E80">
      <w:rPr>
        <w:rFonts w:ascii="Palatino Linotype" w:hAnsi="Palatino Linotype" w:cs="Times New Roman"/>
        <w:color w:val="1F3C6B"/>
        <w:sz w:val="12"/>
        <w:szCs w:val="17"/>
        <w:vertAlign w:val="superscript"/>
      </w:rPr>
      <w:t>●</w:t>
    </w:r>
    <w:r w:rsidRPr="00C42E80">
      <w:rPr>
        <w:rFonts w:ascii="Palatino Linotype" w:hAnsi="Palatino Linotype" w:cs="Times New Roman"/>
        <w:color w:val="1F3C6B"/>
        <w:sz w:val="17"/>
        <w:szCs w:val="17"/>
      </w:rPr>
      <w:t xml:space="preserve"> www.WPCU.coop</w:t>
    </w:r>
  </w:p>
  <w:p w14:paraId="6111FBBB" w14:textId="77777777" w:rsidR="00D23325" w:rsidRPr="0003472C" w:rsidRDefault="00D23325" w:rsidP="0003472C">
    <w:pPr>
      <w:pStyle w:val="Header"/>
      <w:tabs>
        <w:tab w:val="left" w:pos="2430"/>
        <w:tab w:val="left" w:pos="6480"/>
      </w:tabs>
      <w:jc w:val="center"/>
      <w:rPr>
        <w:rFonts w:ascii="Times New Roman" w:hAnsi="Times New Roman" w:cs="Times New Roman"/>
        <w:color w:val="1F497D" w:themeColor="text2"/>
        <w:sz w:val="18"/>
        <w:szCs w:val="18"/>
      </w:rPr>
    </w:pPr>
    <w:r>
      <w:rPr>
        <w:rFonts w:ascii="Times New Roman" w:hAnsi="Times New Roman" w:cs="Times New Roman"/>
        <w:noProof/>
        <w:color w:val="1F497D" w:themeColor="text2"/>
        <w:sz w:val="18"/>
        <w:szCs w:val="18"/>
      </w:rPr>
      <w:drawing>
        <wp:inline distT="0" distB="0" distL="0" distR="0" wp14:anchorId="45841D2F" wp14:editId="78605B41">
          <wp:extent cx="262393" cy="220071"/>
          <wp:effectExtent l="0" t="0" r="444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ight B.PNG"/>
                  <pic:cNvPicPr/>
                </pic:nvPicPr>
                <pic:blipFill>
                  <a:blip r:embed="rId1">
                    <a:extLst>
                      <a:ext uri="{28A0092B-C50C-407E-A947-70E740481C1C}">
                        <a14:useLocalDpi xmlns:a14="http://schemas.microsoft.com/office/drawing/2010/main" val="0"/>
                      </a:ext>
                    </a:extLst>
                  </a:blip>
                  <a:stretch>
                    <a:fillRect/>
                  </a:stretch>
                </pic:blipFill>
                <pic:spPr>
                  <a:xfrm>
                    <a:off x="0" y="0"/>
                    <a:ext cx="264356" cy="221717"/>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D9871" w14:textId="77777777" w:rsidR="00011B96" w:rsidRDefault="00011B96" w:rsidP="0003472C">
      <w:pPr>
        <w:spacing w:after="0" w:line="240" w:lineRule="auto"/>
      </w:pPr>
      <w:r>
        <w:separator/>
      </w:r>
    </w:p>
  </w:footnote>
  <w:footnote w:type="continuationSeparator" w:id="0">
    <w:p w14:paraId="1D815589" w14:textId="77777777" w:rsidR="00011B96" w:rsidRDefault="00011B96" w:rsidP="0003472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857D2" w14:textId="77777777" w:rsidR="00D23325" w:rsidRDefault="00D23325">
    <w:pPr>
      <w:pStyle w:val="Header"/>
    </w:pPr>
    <w:r>
      <w:rPr>
        <w:b/>
        <w:noProof/>
        <w:sz w:val="32"/>
        <w:szCs w:val="32"/>
      </w:rPr>
      <w:drawing>
        <wp:anchor distT="0" distB="0" distL="114300" distR="114300" simplePos="0" relativeHeight="251659264" behindDoc="0" locked="0" layoutInCell="1" allowOverlap="1" wp14:anchorId="7928360E" wp14:editId="70DA4C1A">
          <wp:simplePos x="0" y="0"/>
          <wp:positionH relativeFrom="column">
            <wp:posOffset>1828800</wp:posOffset>
          </wp:positionH>
          <wp:positionV relativeFrom="paragraph">
            <wp:posOffset>-228600</wp:posOffset>
          </wp:positionV>
          <wp:extent cx="2522220" cy="655320"/>
          <wp:effectExtent l="0" t="0" r="0" b="5080"/>
          <wp:wrapNone/>
          <wp:docPr id="1" name="Picture 1" descr="WPCU hi res 2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CU hi res 2 col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22220" cy="655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2577EE"/>
    <w:multiLevelType w:val="hybridMultilevel"/>
    <w:tmpl w:val="681C6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8B9"/>
    <w:rsid w:val="00011B96"/>
    <w:rsid w:val="0003472C"/>
    <w:rsid w:val="00037838"/>
    <w:rsid w:val="00054E5B"/>
    <w:rsid w:val="00067638"/>
    <w:rsid w:val="000706C1"/>
    <w:rsid w:val="0008041C"/>
    <w:rsid w:val="0009757D"/>
    <w:rsid w:val="000B5BA4"/>
    <w:rsid w:val="000F6172"/>
    <w:rsid w:val="000F6595"/>
    <w:rsid w:val="001008DD"/>
    <w:rsid w:val="0013006C"/>
    <w:rsid w:val="00144619"/>
    <w:rsid w:val="00162F08"/>
    <w:rsid w:val="00193EBA"/>
    <w:rsid w:val="00213E9E"/>
    <w:rsid w:val="0024408E"/>
    <w:rsid w:val="00247956"/>
    <w:rsid w:val="00260FF1"/>
    <w:rsid w:val="00262F35"/>
    <w:rsid w:val="00274FD7"/>
    <w:rsid w:val="00286587"/>
    <w:rsid w:val="00294307"/>
    <w:rsid w:val="002D1B0B"/>
    <w:rsid w:val="002D7BD3"/>
    <w:rsid w:val="002E7E98"/>
    <w:rsid w:val="00321B4D"/>
    <w:rsid w:val="003240A7"/>
    <w:rsid w:val="0032422A"/>
    <w:rsid w:val="00340C74"/>
    <w:rsid w:val="00344019"/>
    <w:rsid w:val="0034642D"/>
    <w:rsid w:val="003620FD"/>
    <w:rsid w:val="003848E2"/>
    <w:rsid w:val="003A2328"/>
    <w:rsid w:val="003E4B15"/>
    <w:rsid w:val="003E7CE9"/>
    <w:rsid w:val="003F2E37"/>
    <w:rsid w:val="003F5039"/>
    <w:rsid w:val="0042399D"/>
    <w:rsid w:val="00475317"/>
    <w:rsid w:val="004844C1"/>
    <w:rsid w:val="00490A66"/>
    <w:rsid w:val="004B11BC"/>
    <w:rsid w:val="004C2C63"/>
    <w:rsid w:val="004E7FCA"/>
    <w:rsid w:val="005427AC"/>
    <w:rsid w:val="00545C4D"/>
    <w:rsid w:val="005822AF"/>
    <w:rsid w:val="00590546"/>
    <w:rsid w:val="005A64EF"/>
    <w:rsid w:val="005A7D2A"/>
    <w:rsid w:val="005B0FE0"/>
    <w:rsid w:val="005B4895"/>
    <w:rsid w:val="005B539B"/>
    <w:rsid w:val="005C584E"/>
    <w:rsid w:val="005D3202"/>
    <w:rsid w:val="005F1615"/>
    <w:rsid w:val="00606863"/>
    <w:rsid w:val="00633E80"/>
    <w:rsid w:val="00651EDF"/>
    <w:rsid w:val="00662E09"/>
    <w:rsid w:val="00674039"/>
    <w:rsid w:val="006B219C"/>
    <w:rsid w:val="006C31FC"/>
    <w:rsid w:val="006C52EF"/>
    <w:rsid w:val="006C602E"/>
    <w:rsid w:val="006C6885"/>
    <w:rsid w:val="00730815"/>
    <w:rsid w:val="00735EDE"/>
    <w:rsid w:val="00744FD8"/>
    <w:rsid w:val="007661FC"/>
    <w:rsid w:val="00773676"/>
    <w:rsid w:val="00777F8C"/>
    <w:rsid w:val="00785D27"/>
    <w:rsid w:val="0079604E"/>
    <w:rsid w:val="007A2D88"/>
    <w:rsid w:val="007A5C98"/>
    <w:rsid w:val="007B31EA"/>
    <w:rsid w:val="007D268D"/>
    <w:rsid w:val="00813EC1"/>
    <w:rsid w:val="00815C64"/>
    <w:rsid w:val="00826347"/>
    <w:rsid w:val="0083010C"/>
    <w:rsid w:val="00835B8C"/>
    <w:rsid w:val="0085095B"/>
    <w:rsid w:val="00857938"/>
    <w:rsid w:val="00861D4C"/>
    <w:rsid w:val="008A1295"/>
    <w:rsid w:val="008C5474"/>
    <w:rsid w:val="008C62AA"/>
    <w:rsid w:val="008D4F10"/>
    <w:rsid w:val="008D6725"/>
    <w:rsid w:val="008E3299"/>
    <w:rsid w:val="008E401A"/>
    <w:rsid w:val="009303A3"/>
    <w:rsid w:val="00945653"/>
    <w:rsid w:val="00987DC6"/>
    <w:rsid w:val="009A1B69"/>
    <w:rsid w:val="009F47DD"/>
    <w:rsid w:val="00A15379"/>
    <w:rsid w:val="00A22598"/>
    <w:rsid w:val="00A566E1"/>
    <w:rsid w:val="00AA4BB2"/>
    <w:rsid w:val="00AA6BD2"/>
    <w:rsid w:val="00AC70ED"/>
    <w:rsid w:val="00B24056"/>
    <w:rsid w:val="00B3388E"/>
    <w:rsid w:val="00B52195"/>
    <w:rsid w:val="00BA7284"/>
    <w:rsid w:val="00BD4B0B"/>
    <w:rsid w:val="00BE7D83"/>
    <w:rsid w:val="00C102FF"/>
    <w:rsid w:val="00C31082"/>
    <w:rsid w:val="00C41636"/>
    <w:rsid w:val="00C42E80"/>
    <w:rsid w:val="00C47F00"/>
    <w:rsid w:val="00C52E05"/>
    <w:rsid w:val="00C55144"/>
    <w:rsid w:val="00C5636B"/>
    <w:rsid w:val="00C61128"/>
    <w:rsid w:val="00C6333B"/>
    <w:rsid w:val="00C755D9"/>
    <w:rsid w:val="00CA4246"/>
    <w:rsid w:val="00CA76CC"/>
    <w:rsid w:val="00CC2A45"/>
    <w:rsid w:val="00CD0353"/>
    <w:rsid w:val="00CE32ED"/>
    <w:rsid w:val="00CF0F22"/>
    <w:rsid w:val="00CF50FA"/>
    <w:rsid w:val="00D118D2"/>
    <w:rsid w:val="00D21137"/>
    <w:rsid w:val="00D23325"/>
    <w:rsid w:val="00D363EE"/>
    <w:rsid w:val="00D45FC3"/>
    <w:rsid w:val="00D65F90"/>
    <w:rsid w:val="00D67E42"/>
    <w:rsid w:val="00D72FD0"/>
    <w:rsid w:val="00D73B7A"/>
    <w:rsid w:val="00D9699B"/>
    <w:rsid w:val="00DA0963"/>
    <w:rsid w:val="00DA38B9"/>
    <w:rsid w:val="00DB52E3"/>
    <w:rsid w:val="00DF1770"/>
    <w:rsid w:val="00E02354"/>
    <w:rsid w:val="00E33561"/>
    <w:rsid w:val="00E57B89"/>
    <w:rsid w:val="00E71514"/>
    <w:rsid w:val="00E9447A"/>
    <w:rsid w:val="00E95E99"/>
    <w:rsid w:val="00EA42A4"/>
    <w:rsid w:val="00EB5A08"/>
    <w:rsid w:val="00EC4FCF"/>
    <w:rsid w:val="00EE6369"/>
    <w:rsid w:val="00EE6B5B"/>
    <w:rsid w:val="00EF68E7"/>
    <w:rsid w:val="00F07869"/>
    <w:rsid w:val="00F26B9D"/>
    <w:rsid w:val="00F56A2A"/>
    <w:rsid w:val="00F66C07"/>
    <w:rsid w:val="00F76ACB"/>
    <w:rsid w:val="00FA3008"/>
    <w:rsid w:val="00FC2507"/>
    <w:rsid w:val="00FD0F01"/>
    <w:rsid w:val="00FF6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BC99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B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5039"/>
    <w:rPr>
      <w:color w:val="0000FF" w:themeColor="hyperlink"/>
      <w:u w:val="single"/>
    </w:rPr>
  </w:style>
  <w:style w:type="paragraph" w:styleId="EnvelopeReturn">
    <w:name w:val="envelope return"/>
    <w:basedOn w:val="Normal"/>
    <w:rsid w:val="005F1615"/>
    <w:pPr>
      <w:spacing w:after="0" w:line="240" w:lineRule="auto"/>
    </w:pPr>
    <w:rPr>
      <w:rFonts w:ascii="Mistral" w:eastAsia="Times New Roman" w:hAnsi="Mistral" w:cs="Arial"/>
      <w:b/>
      <w:sz w:val="28"/>
      <w:szCs w:val="20"/>
    </w:rPr>
  </w:style>
  <w:style w:type="paragraph" w:styleId="BalloonText">
    <w:name w:val="Balloon Text"/>
    <w:basedOn w:val="Normal"/>
    <w:link w:val="BalloonTextChar"/>
    <w:uiPriority w:val="99"/>
    <w:semiHidden/>
    <w:unhideWhenUsed/>
    <w:rsid w:val="005F1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615"/>
    <w:rPr>
      <w:rFonts w:ascii="Tahoma" w:hAnsi="Tahoma" w:cs="Tahoma"/>
      <w:sz w:val="16"/>
      <w:szCs w:val="16"/>
    </w:rPr>
  </w:style>
  <w:style w:type="paragraph" w:styleId="Header">
    <w:name w:val="header"/>
    <w:basedOn w:val="Normal"/>
    <w:link w:val="HeaderChar"/>
    <w:uiPriority w:val="99"/>
    <w:unhideWhenUsed/>
    <w:rsid w:val="00034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72C"/>
  </w:style>
  <w:style w:type="paragraph" w:styleId="Footer">
    <w:name w:val="footer"/>
    <w:basedOn w:val="Normal"/>
    <w:link w:val="FooterChar"/>
    <w:uiPriority w:val="99"/>
    <w:unhideWhenUsed/>
    <w:rsid w:val="00034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72C"/>
  </w:style>
  <w:style w:type="character" w:customStyle="1" w:styleId="apple-converted-space">
    <w:name w:val="apple-converted-space"/>
    <w:basedOn w:val="DefaultParagraphFont"/>
    <w:rsid w:val="00E71514"/>
  </w:style>
  <w:style w:type="character" w:styleId="FollowedHyperlink">
    <w:name w:val="FollowedHyperlink"/>
    <w:basedOn w:val="DefaultParagraphFont"/>
    <w:uiPriority w:val="99"/>
    <w:semiHidden/>
    <w:unhideWhenUsed/>
    <w:rsid w:val="00CA76CC"/>
    <w:rPr>
      <w:color w:val="800080" w:themeColor="followedHyperlink"/>
      <w:u w:val="single"/>
    </w:rPr>
  </w:style>
  <w:style w:type="paragraph" w:styleId="NormalWeb">
    <w:name w:val="Normal (Web)"/>
    <w:basedOn w:val="Normal"/>
    <w:uiPriority w:val="99"/>
    <w:semiHidden/>
    <w:unhideWhenUsed/>
    <w:rsid w:val="00FC250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C102FF"/>
    <w:rPr>
      <w:i/>
      <w:iCs/>
    </w:rPr>
  </w:style>
  <w:style w:type="paragraph" w:customStyle="1" w:styleId="Default">
    <w:name w:val="Default"/>
    <w:rsid w:val="00C102FF"/>
    <w:pPr>
      <w:autoSpaceDE w:val="0"/>
      <w:autoSpaceDN w:val="0"/>
      <w:adjustRightInd w:val="0"/>
      <w:spacing w:after="0" w:line="240" w:lineRule="auto"/>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B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5039"/>
    <w:rPr>
      <w:color w:val="0000FF" w:themeColor="hyperlink"/>
      <w:u w:val="single"/>
    </w:rPr>
  </w:style>
  <w:style w:type="paragraph" w:styleId="EnvelopeReturn">
    <w:name w:val="envelope return"/>
    <w:basedOn w:val="Normal"/>
    <w:rsid w:val="005F1615"/>
    <w:pPr>
      <w:spacing w:after="0" w:line="240" w:lineRule="auto"/>
    </w:pPr>
    <w:rPr>
      <w:rFonts w:ascii="Mistral" w:eastAsia="Times New Roman" w:hAnsi="Mistral" w:cs="Arial"/>
      <w:b/>
      <w:sz w:val="28"/>
      <w:szCs w:val="20"/>
    </w:rPr>
  </w:style>
  <w:style w:type="paragraph" w:styleId="BalloonText">
    <w:name w:val="Balloon Text"/>
    <w:basedOn w:val="Normal"/>
    <w:link w:val="BalloonTextChar"/>
    <w:uiPriority w:val="99"/>
    <w:semiHidden/>
    <w:unhideWhenUsed/>
    <w:rsid w:val="005F1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615"/>
    <w:rPr>
      <w:rFonts w:ascii="Tahoma" w:hAnsi="Tahoma" w:cs="Tahoma"/>
      <w:sz w:val="16"/>
      <w:szCs w:val="16"/>
    </w:rPr>
  </w:style>
  <w:style w:type="paragraph" w:styleId="Header">
    <w:name w:val="header"/>
    <w:basedOn w:val="Normal"/>
    <w:link w:val="HeaderChar"/>
    <w:uiPriority w:val="99"/>
    <w:unhideWhenUsed/>
    <w:rsid w:val="00034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72C"/>
  </w:style>
  <w:style w:type="paragraph" w:styleId="Footer">
    <w:name w:val="footer"/>
    <w:basedOn w:val="Normal"/>
    <w:link w:val="FooterChar"/>
    <w:uiPriority w:val="99"/>
    <w:unhideWhenUsed/>
    <w:rsid w:val="00034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72C"/>
  </w:style>
  <w:style w:type="character" w:customStyle="1" w:styleId="apple-converted-space">
    <w:name w:val="apple-converted-space"/>
    <w:basedOn w:val="DefaultParagraphFont"/>
    <w:rsid w:val="00E71514"/>
  </w:style>
  <w:style w:type="character" w:styleId="FollowedHyperlink">
    <w:name w:val="FollowedHyperlink"/>
    <w:basedOn w:val="DefaultParagraphFont"/>
    <w:uiPriority w:val="99"/>
    <w:semiHidden/>
    <w:unhideWhenUsed/>
    <w:rsid w:val="00CA76CC"/>
    <w:rPr>
      <w:color w:val="800080" w:themeColor="followedHyperlink"/>
      <w:u w:val="single"/>
    </w:rPr>
  </w:style>
  <w:style w:type="paragraph" w:styleId="NormalWeb">
    <w:name w:val="Normal (Web)"/>
    <w:basedOn w:val="Normal"/>
    <w:uiPriority w:val="99"/>
    <w:semiHidden/>
    <w:unhideWhenUsed/>
    <w:rsid w:val="00FC250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C102FF"/>
    <w:rPr>
      <w:i/>
      <w:iCs/>
    </w:rPr>
  </w:style>
  <w:style w:type="paragraph" w:customStyle="1" w:styleId="Default">
    <w:name w:val="Default"/>
    <w:rsid w:val="00C102FF"/>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72069">
      <w:bodyDiv w:val="1"/>
      <w:marLeft w:val="0"/>
      <w:marRight w:val="0"/>
      <w:marTop w:val="0"/>
      <w:marBottom w:val="0"/>
      <w:divBdr>
        <w:top w:val="none" w:sz="0" w:space="0" w:color="auto"/>
        <w:left w:val="none" w:sz="0" w:space="0" w:color="auto"/>
        <w:bottom w:val="none" w:sz="0" w:space="0" w:color="auto"/>
        <w:right w:val="none" w:sz="0" w:space="0" w:color="auto"/>
      </w:divBdr>
    </w:div>
    <w:div w:id="787966309">
      <w:bodyDiv w:val="1"/>
      <w:marLeft w:val="0"/>
      <w:marRight w:val="0"/>
      <w:marTop w:val="0"/>
      <w:marBottom w:val="0"/>
      <w:divBdr>
        <w:top w:val="none" w:sz="0" w:space="0" w:color="auto"/>
        <w:left w:val="none" w:sz="0" w:space="0" w:color="auto"/>
        <w:bottom w:val="none" w:sz="0" w:space="0" w:color="auto"/>
        <w:right w:val="none" w:sz="0" w:space="0" w:color="auto"/>
      </w:divBdr>
    </w:div>
    <w:div w:id="817647702">
      <w:bodyDiv w:val="1"/>
      <w:marLeft w:val="0"/>
      <w:marRight w:val="0"/>
      <w:marTop w:val="0"/>
      <w:marBottom w:val="0"/>
      <w:divBdr>
        <w:top w:val="none" w:sz="0" w:space="0" w:color="auto"/>
        <w:left w:val="none" w:sz="0" w:space="0" w:color="auto"/>
        <w:bottom w:val="none" w:sz="0" w:space="0" w:color="auto"/>
        <w:right w:val="none" w:sz="0" w:space="0" w:color="auto"/>
      </w:divBdr>
    </w:div>
    <w:div w:id="198673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WPCU.coop/SunshineCommunityFund"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1814C-B0FF-8E49-B089-557FCF4AB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760</Words>
  <Characters>4332</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Wright-Patt Credit Union</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Beth Miller</cp:lastModifiedBy>
  <cp:revision>3</cp:revision>
  <cp:lastPrinted>2017-12-01T16:58:00Z</cp:lastPrinted>
  <dcterms:created xsi:type="dcterms:W3CDTF">2021-04-05T17:59:00Z</dcterms:created>
  <dcterms:modified xsi:type="dcterms:W3CDTF">2021-04-06T11:49:00Z</dcterms:modified>
</cp:coreProperties>
</file>