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38171" w14:textId="77777777" w:rsidR="00CC68E3" w:rsidRDefault="00CC68E3" w:rsidP="002F2E3C">
      <w:pPr>
        <w:jc w:val="center"/>
        <w:rPr>
          <w:rFonts w:ascii="Arial" w:hAnsi="Arial" w:cs="Arial"/>
          <w:b/>
          <w:sz w:val="32"/>
          <w:szCs w:val="32"/>
        </w:rPr>
      </w:pPr>
    </w:p>
    <w:p w14:paraId="3339A9CA" w14:textId="77777777" w:rsidR="00097B89" w:rsidRDefault="00097B89" w:rsidP="008746C6">
      <w:pPr>
        <w:jc w:val="center"/>
        <w:rPr>
          <w:rFonts w:ascii="Times New Roman" w:hAnsi="Times New Roman"/>
          <w:b/>
          <w:sz w:val="28"/>
          <w:szCs w:val="28"/>
        </w:rPr>
      </w:pPr>
    </w:p>
    <w:p w14:paraId="701C0BAF" w14:textId="07F9B761" w:rsidR="00070552" w:rsidRDefault="00C33672" w:rsidP="00FB7074">
      <w:pPr>
        <w:jc w:val="center"/>
        <w:rPr>
          <w:rFonts w:ascii="Times New Roman" w:hAnsi="Times New Roman"/>
          <w:b/>
          <w:sz w:val="28"/>
          <w:szCs w:val="28"/>
        </w:rPr>
      </w:pPr>
      <w:r w:rsidRPr="00631E92">
        <w:rPr>
          <w:rFonts w:ascii="Times New Roman" w:hAnsi="Times New Roman"/>
          <w:b/>
          <w:sz w:val="28"/>
          <w:szCs w:val="28"/>
        </w:rPr>
        <w:t xml:space="preserve">Texas Trust Credit Union </w:t>
      </w:r>
      <w:r w:rsidR="006B6815">
        <w:rPr>
          <w:rFonts w:ascii="Times New Roman" w:hAnsi="Times New Roman"/>
          <w:b/>
          <w:sz w:val="28"/>
          <w:szCs w:val="28"/>
        </w:rPr>
        <w:t>Sees Superior Growth in 2020</w:t>
      </w:r>
    </w:p>
    <w:p w14:paraId="3CFAA334" w14:textId="4C40FCEB" w:rsidR="00466954" w:rsidRPr="000B7498" w:rsidRDefault="00AE7DD1" w:rsidP="000B7498">
      <w:pPr>
        <w:pStyle w:val="NormalWeb"/>
        <w:jc w:val="center"/>
      </w:pPr>
      <w:r>
        <w:rPr>
          <w:rStyle w:val="Emphasis"/>
        </w:rPr>
        <w:t>Despite Pandemic</w:t>
      </w:r>
      <w:r w:rsidR="007578DD">
        <w:rPr>
          <w:rStyle w:val="Emphasis"/>
        </w:rPr>
        <w:t>’s Challenges</w:t>
      </w:r>
      <w:r>
        <w:rPr>
          <w:rStyle w:val="Emphasis"/>
        </w:rPr>
        <w:t xml:space="preserve">, Credit Union </w:t>
      </w:r>
      <w:r w:rsidR="007578DD">
        <w:rPr>
          <w:rStyle w:val="Emphasis"/>
        </w:rPr>
        <w:t>Grew Total Assets 16.3%</w:t>
      </w:r>
    </w:p>
    <w:p w14:paraId="1B403901" w14:textId="3CBA0785" w:rsidR="00BE0E24" w:rsidRDefault="007047B9" w:rsidP="00C33672">
      <w:pPr>
        <w:spacing w:line="288" w:lineRule="auto"/>
        <w:rPr>
          <w:rStyle w:val="Hyperlink"/>
          <w:rFonts w:ascii="Times New Roman" w:hAnsi="Times New Roman" w:cs="Times New Roman"/>
          <w:color w:val="auto"/>
          <w:sz w:val="24"/>
          <w:szCs w:val="24"/>
          <w:u w:val="none"/>
        </w:rPr>
      </w:pPr>
      <w:r>
        <w:rPr>
          <w:rFonts w:ascii="Times New Roman" w:hAnsi="Times New Roman"/>
          <w:b/>
          <w:sz w:val="24"/>
          <w:szCs w:val="24"/>
        </w:rPr>
        <w:t>Arlington</w:t>
      </w:r>
      <w:r w:rsidR="00466954">
        <w:rPr>
          <w:rFonts w:ascii="Times New Roman" w:hAnsi="Times New Roman"/>
          <w:b/>
          <w:sz w:val="24"/>
          <w:szCs w:val="24"/>
        </w:rPr>
        <w:t>, Texas –</w:t>
      </w:r>
      <w:r w:rsidR="003A659C" w:rsidRPr="003A659C">
        <w:rPr>
          <w:rFonts w:ascii="Times New Roman" w:hAnsi="Times New Roman"/>
          <w:sz w:val="24"/>
          <w:szCs w:val="24"/>
        </w:rPr>
        <w:t xml:space="preserve"> </w:t>
      </w:r>
      <w:r w:rsidR="009B5F73">
        <w:rPr>
          <w:rFonts w:ascii="Times New Roman" w:hAnsi="Times New Roman"/>
          <w:sz w:val="24"/>
          <w:szCs w:val="24"/>
        </w:rPr>
        <w:t xml:space="preserve">March </w:t>
      </w:r>
      <w:r w:rsidR="00FC744B">
        <w:rPr>
          <w:rFonts w:ascii="Times New Roman" w:hAnsi="Times New Roman"/>
          <w:sz w:val="24"/>
          <w:szCs w:val="24"/>
        </w:rPr>
        <w:t>21</w:t>
      </w:r>
      <w:r w:rsidR="00070552">
        <w:rPr>
          <w:rFonts w:ascii="Times New Roman" w:hAnsi="Times New Roman"/>
          <w:sz w:val="24"/>
          <w:szCs w:val="24"/>
        </w:rPr>
        <w:t>, 2021</w:t>
      </w:r>
      <w:r w:rsidR="00466954">
        <w:rPr>
          <w:rFonts w:ascii="Times New Roman" w:hAnsi="Times New Roman"/>
          <w:sz w:val="24"/>
          <w:szCs w:val="24"/>
        </w:rPr>
        <w:t xml:space="preserve"> –</w:t>
      </w:r>
      <w:r w:rsidR="00087A1A">
        <w:rPr>
          <w:rFonts w:ascii="Times New Roman" w:hAnsi="Times New Roman"/>
          <w:sz w:val="24"/>
          <w:szCs w:val="24"/>
        </w:rPr>
        <w:t xml:space="preserve"> </w:t>
      </w:r>
      <w:hyperlink r:id="rId8" w:history="1">
        <w:r w:rsidR="00FD0B2F" w:rsidRPr="00871BC5">
          <w:rPr>
            <w:rStyle w:val="Hyperlink"/>
            <w:rFonts w:ascii="Times New Roman" w:hAnsi="Times New Roman" w:cs="Times New Roman"/>
            <w:sz w:val="24"/>
            <w:szCs w:val="24"/>
          </w:rPr>
          <w:t>Texas Trust Credit Union</w:t>
        </w:r>
      </w:hyperlink>
      <w:r w:rsidR="00FD0B2F" w:rsidRPr="004A14EA">
        <w:rPr>
          <w:rStyle w:val="Hyperlink"/>
          <w:rFonts w:ascii="Times New Roman" w:hAnsi="Times New Roman" w:cs="Times New Roman"/>
          <w:color w:val="auto"/>
          <w:sz w:val="24"/>
          <w:szCs w:val="24"/>
          <w:u w:val="none"/>
        </w:rPr>
        <w:t xml:space="preserve"> </w:t>
      </w:r>
      <w:r w:rsidR="006B2B0E">
        <w:rPr>
          <w:rStyle w:val="Hyperlink"/>
          <w:rFonts w:ascii="Times New Roman" w:hAnsi="Times New Roman" w:cs="Times New Roman"/>
          <w:color w:val="auto"/>
          <w:sz w:val="24"/>
          <w:szCs w:val="24"/>
          <w:u w:val="none"/>
        </w:rPr>
        <w:t>keenly focused on helping members through the global pandemic</w:t>
      </w:r>
      <w:r w:rsidR="006B2B0E" w:rsidRPr="004A14EA">
        <w:rPr>
          <w:rStyle w:val="Hyperlink"/>
          <w:rFonts w:ascii="Times New Roman" w:hAnsi="Times New Roman" w:cs="Times New Roman"/>
          <w:color w:val="auto"/>
          <w:sz w:val="24"/>
          <w:szCs w:val="24"/>
          <w:u w:val="none"/>
        </w:rPr>
        <w:t xml:space="preserve"> </w:t>
      </w:r>
      <w:r w:rsidR="00327FB0">
        <w:rPr>
          <w:rStyle w:val="Hyperlink"/>
          <w:rFonts w:ascii="Times New Roman" w:hAnsi="Times New Roman" w:cs="Times New Roman"/>
          <w:color w:val="auto"/>
          <w:sz w:val="24"/>
          <w:szCs w:val="24"/>
          <w:u w:val="none"/>
        </w:rPr>
        <w:t xml:space="preserve">last year, resulting in </w:t>
      </w:r>
      <w:r w:rsidR="004A14EA" w:rsidRPr="004A14EA">
        <w:rPr>
          <w:rStyle w:val="Hyperlink"/>
          <w:rFonts w:ascii="Times New Roman" w:hAnsi="Times New Roman" w:cs="Times New Roman"/>
          <w:color w:val="auto"/>
          <w:sz w:val="24"/>
          <w:szCs w:val="24"/>
          <w:u w:val="none"/>
        </w:rPr>
        <w:t>superior growth in 2020</w:t>
      </w:r>
      <w:r w:rsidR="004A14EA">
        <w:rPr>
          <w:rStyle w:val="Hyperlink"/>
          <w:rFonts w:ascii="Times New Roman" w:hAnsi="Times New Roman" w:cs="Times New Roman"/>
          <w:color w:val="auto"/>
          <w:sz w:val="24"/>
          <w:szCs w:val="24"/>
          <w:u w:val="none"/>
        </w:rPr>
        <w:t>. The $1.6 billion credit union’s rapid</w:t>
      </w:r>
      <w:r w:rsidR="00B37DE8">
        <w:rPr>
          <w:rStyle w:val="Hyperlink"/>
          <w:rFonts w:ascii="Times New Roman" w:hAnsi="Times New Roman" w:cs="Times New Roman"/>
          <w:color w:val="auto"/>
          <w:sz w:val="24"/>
          <w:szCs w:val="24"/>
          <w:u w:val="none"/>
        </w:rPr>
        <w:t xml:space="preserve"> crisis response </w:t>
      </w:r>
      <w:r w:rsidR="003E3FC5">
        <w:rPr>
          <w:rStyle w:val="Hyperlink"/>
          <w:rFonts w:ascii="Times New Roman" w:hAnsi="Times New Roman" w:cs="Times New Roman"/>
          <w:color w:val="auto"/>
          <w:sz w:val="24"/>
          <w:szCs w:val="24"/>
          <w:u w:val="none"/>
        </w:rPr>
        <w:t xml:space="preserve">enabled it to help members remain financially sound during </w:t>
      </w:r>
      <w:r w:rsidR="00BE0E24">
        <w:rPr>
          <w:rStyle w:val="Hyperlink"/>
          <w:rFonts w:ascii="Times New Roman" w:hAnsi="Times New Roman" w:cs="Times New Roman"/>
          <w:color w:val="auto"/>
          <w:sz w:val="24"/>
          <w:szCs w:val="24"/>
          <w:u w:val="none"/>
        </w:rPr>
        <w:t>the crisis.</w:t>
      </w:r>
      <w:r w:rsidR="00013EF0">
        <w:rPr>
          <w:rStyle w:val="Hyperlink"/>
          <w:rFonts w:ascii="Times New Roman" w:hAnsi="Times New Roman" w:cs="Times New Roman"/>
          <w:color w:val="auto"/>
          <w:sz w:val="24"/>
          <w:szCs w:val="24"/>
          <w:u w:val="none"/>
        </w:rPr>
        <w:t xml:space="preserve"> The credit union also continued to give the communities in which </w:t>
      </w:r>
      <w:r w:rsidR="00E20F79">
        <w:rPr>
          <w:rStyle w:val="Hyperlink"/>
          <w:rFonts w:ascii="Times New Roman" w:hAnsi="Times New Roman" w:cs="Times New Roman"/>
          <w:color w:val="auto"/>
          <w:sz w:val="24"/>
          <w:szCs w:val="24"/>
          <w:u w:val="none"/>
        </w:rPr>
        <w:t>it does</w:t>
      </w:r>
      <w:r w:rsidR="00013EF0">
        <w:rPr>
          <w:rStyle w:val="Hyperlink"/>
          <w:rFonts w:ascii="Times New Roman" w:hAnsi="Times New Roman" w:cs="Times New Roman"/>
          <w:color w:val="auto"/>
          <w:sz w:val="24"/>
          <w:szCs w:val="24"/>
          <w:u w:val="none"/>
        </w:rPr>
        <w:t xml:space="preserve"> business, maintaining the credit union philosophy of “people helping people.”</w:t>
      </w:r>
    </w:p>
    <w:p w14:paraId="2E9DB2DF" w14:textId="5085F037" w:rsidR="000770A9" w:rsidRDefault="00763435" w:rsidP="00C33672">
      <w:pPr>
        <w:spacing w:line="288" w:lineRule="auto"/>
        <w:rPr>
          <w:rStyle w:val="Hyperlink"/>
          <w:rFonts w:ascii="Times New Roman" w:hAnsi="Times New Roman" w:cs="Times New Roman"/>
          <w:color w:val="auto"/>
          <w:sz w:val="24"/>
          <w:szCs w:val="24"/>
          <w:u w:val="none"/>
        </w:rPr>
      </w:pPr>
      <w:bookmarkStart w:id="0" w:name="_GoBack"/>
      <w:r>
        <w:rPr>
          <w:rFonts w:ascii="Times New Roman" w:hAnsi="Times New Roman" w:cs="Times New Roman"/>
          <w:noProof/>
          <w:sz w:val="24"/>
          <w:szCs w:val="24"/>
        </w:rPr>
        <w:drawing>
          <wp:anchor distT="0" distB="0" distL="114300" distR="114300" simplePos="0" relativeHeight="251658240" behindDoc="1" locked="0" layoutInCell="1" allowOverlap="1" wp14:anchorId="17D501F1" wp14:editId="7183A8E7">
            <wp:simplePos x="0" y="0"/>
            <wp:positionH relativeFrom="margin">
              <wp:posOffset>-635</wp:posOffset>
            </wp:positionH>
            <wp:positionV relativeFrom="paragraph">
              <wp:posOffset>212090</wp:posOffset>
            </wp:positionV>
            <wp:extent cx="1990725" cy="4523740"/>
            <wp:effectExtent l="0" t="0" r="9525" b="0"/>
            <wp:wrapTight wrapText="bothSides">
              <wp:wrapPolygon edited="0">
                <wp:start x="0" y="0"/>
                <wp:lineTo x="0" y="21467"/>
                <wp:lineTo x="21497" y="21467"/>
                <wp:lineTo x="2149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0 Giving &amp; Growt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0725" cy="4523740"/>
                    </a:xfrm>
                    <a:prstGeom prst="rect">
                      <a:avLst/>
                    </a:prstGeom>
                  </pic:spPr>
                </pic:pic>
              </a:graphicData>
            </a:graphic>
            <wp14:sizeRelH relativeFrom="page">
              <wp14:pctWidth>0</wp14:pctWidth>
            </wp14:sizeRelH>
            <wp14:sizeRelV relativeFrom="page">
              <wp14:pctHeight>0</wp14:pctHeight>
            </wp14:sizeRelV>
          </wp:anchor>
        </w:drawing>
      </w:r>
      <w:bookmarkEnd w:id="0"/>
    </w:p>
    <w:p w14:paraId="23094D5D" w14:textId="2C519320" w:rsidR="00CF597B" w:rsidRDefault="000770A9" w:rsidP="00C33672">
      <w:pPr>
        <w:spacing w:line="288"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Texas Trust</w:t>
      </w:r>
      <w:r w:rsidR="006B2B0E">
        <w:rPr>
          <w:rStyle w:val="Hyperlink"/>
          <w:rFonts w:ascii="Times New Roman" w:hAnsi="Times New Roman" w:cs="Times New Roman"/>
          <w:color w:val="auto"/>
          <w:sz w:val="24"/>
          <w:szCs w:val="24"/>
          <w:u w:val="none"/>
        </w:rPr>
        <w:t xml:space="preserve"> pivoted their strategy to focus on pandemic response, helping members in need, and as a result,</w:t>
      </w:r>
      <w:r>
        <w:rPr>
          <w:rStyle w:val="Hyperlink"/>
          <w:rFonts w:ascii="Times New Roman" w:hAnsi="Times New Roman" w:cs="Times New Roman"/>
          <w:color w:val="auto"/>
          <w:sz w:val="24"/>
          <w:szCs w:val="24"/>
          <w:u w:val="none"/>
        </w:rPr>
        <w:t xml:space="preserve"> ended 2020 with 10 percent growth in net worth.</w:t>
      </w:r>
      <w:r w:rsidR="00984D9C">
        <w:rPr>
          <w:rStyle w:val="Hyperlink"/>
          <w:rFonts w:ascii="Times New Roman" w:hAnsi="Times New Roman" w:cs="Times New Roman"/>
          <w:color w:val="auto"/>
          <w:sz w:val="24"/>
          <w:szCs w:val="24"/>
          <w:u w:val="none"/>
        </w:rPr>
        <w:t xml:space="preserve"> </w:t>
      </w:r>
      <w:r w:rsidR="00AE7DD1">
        <w:rPr>
          <w:rStyle w:val="Hyperlink"/>
          <w:rFonts w:ascii="Times New Roman" w:hAnsi="Times New Roman" w:cs="Times New Roman"/>
          <w:color w:val="auto"/>
          <w:sz w:val="24"/>
          <w:szCs w:val="24"/>
          <w:u w:val="none"/>
        </w:rPr>
        <w:t xml:space="preserve">Total assets grew 16.3 percent. </w:t>
      </w:r>
      <w:r>
        <w:rPr>
          <w:rStyle w:val="Hyperlink"/>
          <w:rFonts w:ascii="Times New Roman" w:hAnsi="Times New Roman" w:cs="Times New Roman"/>
          <w:color w:val="auto"/>
          <w:sz w:val="24"/>
          <w:szCs w:val="24"/>
          <w:u w:val="none"/>
        </w:rPr>
        <w:t xml:space="preserve"> </w:t>
      </w:r>
      <w:r w:rsidR="00AE7DD1">
        <w:rPr>
          <w:rStyle w:val="Hyperlink"/>
          <w:rFonts w:ascii="Times New Roman" w:hAnsi="Times New Roman" w:cs="Times New Roman"/>
          <w:color w:val="auto"/>
          <w:sz w:val="24"/>
          <w:szCs w:val="24"/>
          <w:u w:val="none"/>
        </w:rPr>
        <w:t>D</w:t>
      </w:r>
      <w:r w:rsidR="00984D9C">
        <w:rPr>
          <w:rStyle w:val="Hyperlink"/>
          <w:rFonts w:ascii="Times New Roman" w:hAnsi="Times New Roman" w:cs="Times New Roman"/>
          <w:color w:val="auto"/>
          <w:sz w:val="24"/>
          <w:szCs w:val="24"/>
          <w:u w:val="none"/>
        </w:rPr>
        <w:t xml:space="preserve">eposits increased 16.9 percent and loans 22 percent, year over year, marking one of the best years for the credit union. </w:t>
      </w:r>
    </w:p>
    <w:p w14:paraId="4BD4FBD3" w14:textId="77777777" w:rsidR="00984D9C" w:rsidRDefault="00984D9C" w:rsidP="00C33672">
      <w:pPr>
        <w:spacing w:line="288" w:lineRule="auto"/>
        <w:rPr>
          <w:rStyle w:val="Hyperlink"/>
          <w:rFonts w:ascii="Times New Roman" w:hAnsi="Times New Roman" w:cs="Times New Roman"/>
          <w:color w:val="auto"/>
          <w:sz w:val="24"/>
          <w:szCs w:val="24"/>
          <w:u w:val="none"/>
        </w:rPr>
      </w:pPr>
    </w:p>
    <w:p w14:paraId="44CDB700" w14:textId="42FA1D62" w:rsidR="00984D9C" w:rsidRDefault="006B2B0E" w:rsidP="00C33672">
      <w:pPr>
        <w:spacing w:line="288"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Texas Trust funded hundreds of emergency personal loans and approved more than 7,500 members to skip loan payments up to three months without any penalties or fees. The credit union also worked with small businesses to help them obtain Paycheck Protection Program loans from the federal government. Also, t</w:t>
      </w:r>
      <w:r w:rsidR="00984D9C">
        <w:rPr>
          <w:rStyle w:val="Hyperlink"/>
          <w:rFonts w:ascii="Times New Roman" w:hAnsi="Times New Roman" w:cs="Times New Roman"/>
          <w:color w:val="auto"/>
          <w:sz w:val="24"/>
          <w:szCs w:val="24"/>
          <w:u w:val="none"/>
        </w:rPr>
        <w:t xml:space="preserve">o help members </w:t>
      </w:r>
      <w:r w:rsidR="00CF597B">
        <w:rPr>
          <w:rStyle w:val="Hyperlink"/>
          <w:rFonts w:ascii="Times New Roman" w:hAnsi="Times New Roman" w:cs="Times New Roman"/>
          <w:color w:val="auto"/>
          <w:sz w:val="24"/>
          <w:szCs w:val="24"/>
          <w:u w:val="none"/>
        </w:rPr>
        <w:t>manage</w:t>
      </w:r>
      <w:r w:rsidR="00984D9C">
        <w:rPr>
          <w:rStyle w:val="Hyperlink"/>
          <w:rFonts w:ascii="Times New Roman" w:hAnsi="Times New Roman" w:cs="Times New Roman"/>
          <w:color w:val="auto"/>
          <w:sz w:val="24"/>
          <w:szCs w:val="24"/>
          <w:u w:val="none"/>
        </w:rPr>
        <w:t xml:space="preserve"> the financial </w:t>
      </w:r>
      <w:r w:rsidR="00CF597B">
        <w:rPr>
          <w:rStyle w:val="Hyperlink"/>
          <w:rFonts w:ascii="Times New Roman" w:hAnsi="Times New Roman" w:cs="Times New Roman"/>
          <w:color w:val="auto"/>
          <w:sz w:val="24"/>
          <w:szCs w:val="24"/>
          <w:u w:val="none"/>
        </w:rPr>
        <w:t>upheaval</w:t>
      </w:r>
      <w:r w:rsidR="00984D9C">
        <w:rPr>
          <w:rStyle w:val="Hyperlink"/>
          <w:rFonts w:ascii="Times New Roman" w:hAnsi="Times New Roman" w:cs="Times New Roman"/>
          <w:color w:val="auto"/>
          <w:sz w:val="24"/>
          <w:szCs w:val="24"/>
          <w:u w:val="none"/>
        </w:rPr>
        <w:t xml:space="preserve"> brought on by the pandemic, </w:t>
      </w:r>
      <w:r w:rsidR="00484B91">
        <w:rPr>
          <w:rStyle w:val="Hyperlink"/>
          <w:rFonts w:ascii="Times New Roman" w:hAnsi="Times New Roman" w:cs="Times New Roman"/>
          <w:color w:val="auto"/>
          <w:sz w:val="24"/>
          <w:szCs w:val="24"/>
          <w:u w:val="none"/>
        </w:rPr>
        <w:t>they were</w:t>
      </w:r>
      <w:r w:rsidR="00984D9C">
        <w:rPr>
          <w:rStyle w:val="Hyperlink"/>
          <w:rFonts w:ascii="Times New Roman" w:hAnsi="Times New Roman" w:cs="Times New Roman"/>
          <w:color w:val="auto"/>
          <w:sz w:val="24"/>
          <w:szCs w:val="24"/>
          <w:u w:val="none"/>
        </w:rPr>
        <w:t xml:space="preserve"> allowed to withdraw money from their CDs and holiday club accounts with no penalty</w:t>
      </w:r>
      <w:r w:rsidR="00484B91">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color w:val="auto"/>
          <w:sz w:val="24"/>
          <w:szCs w:val="24"/>
          <w:u w:val="none"/>
        </w:rPr>
        <w:t>In addition, t</w:t>
      </w:r>
      <w:r w:rsidR="00484B91">
        <w:rPr>
          <w:rStyle w:val="Hyperlink"/>
          <w:rFonts w:ascii="Times New Roman" w:hAnsi="Times New Roman" w:cs="Times New Roman"/>
          <w:color w:val="auto"/>
          <w:sz w:val="24"/>
          <w:szCs w:val="24"/>
          <w:u w:val="none"/>
        </w:rPr>
        <w:t xml:space="preserve">ransaction requirements on a popular checking account were waived. </w:t>
      </w:r>
    </w:p>
    <w:p w14:paraId="769EA6AB" w14:textId="77777777" w:rsidR="00CD2E9D" w:rsidRDefault="00CD2E9D" w:rsidP="00C33672">
      <w:pPr>
        <w:spacing w:line="288" w:lineRule="auto"/>
        <w:rPr>
          <w:rStyle w:val="Hyperlink"/>
          <w:rFonts w:ascii="Times New Roman" w:hAnsi="Times New Roman" w:cs="Times New Roman"/>
          <w:color w:val="auto"/>
          <w:sz w:val="24"/>
          <w:szCs w:val="24"/>
          <w:u w:val="none"/>
        </w:rPr>
      </w:pPr>
    </w:p>
    <w:p w14:paraId="4ADEDEE5" w14:textId="1046052E" w:rsidR="00B36345" w:rsidRDefault="00CD2E9D" w:rsidP="00CD2E9D">
      <w:pPr>
        <w:spacing w:line="288"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Texas Trust helped nearly 300 members refinance auto loans </w:t>
      </w:r>
      <w:r w:rsidR="00B36345">
        <w:rPr>
          <w:rStyle w:val="Hyperlink"/>
          <w:rFonts w:ascii="Times New Roman" w:hAnsi="Times New Roman" w:cs="Times New Roman"/>
          <w:color w:val="auto"/>
          <w:sz w:val="24"/>
          <w:szCs w:val="24"/>
          <w:u w:val="none"/>
        </w:rPr>
        <w:t>at lower rates, saving them a minimum of $50/month. T</w:t>
      </w:r>
      <w:r w:rsidR="00350BD6">
        <w:rPr>
          <w:rStyle w:val="Hyperlink"/>
          <w:rFonts w:ascii="Times New Roman" w:hAnsi="Times New Roman" w:cs="Times New Roman"/>
          <w:color w:val="auto"/>
          <w:sz w:val="24"/>
          <w:szCs w:val="24"/>
          <w:u w:val="none"/>
        </w:rPr>
        <w:t xml:space="preserve">hese members </w:t>
      </w:r>
      <w:r w:rsidR="00B36345">
        <w:rPr>
          <w:rStyle w:val="Hyperlink"/>
          <w:rFonts w:ascii="Times New Roman" w:hAnsi="Times New Roman" w:cs="Times New Roman"/>
          <w:color w:val="auto"/>
          <w:sz w:val="24"/>
          <w:szCs w:val="24"/>
          <w:u w:val="none"/>
        </w:rPr>
        <w:t xml:space="preserve">were </w:t>
      </w:r>
      <w:r w:rsidR="00350BD6">
        <w:rPr>
          <w:rStyle w:val="Hyperlink"/>
          <w:rFonts w:ascii="Times New Roman" w:hAnsi="Times New Roman" w:cs="Times New Roman"/>
          <w:color w:val="auto"/>
          <w:sz w:val="24"/>
          <w:szCs w:val="24"/>
          <w:u w:val="none"/>
        </w:rPr>
        <w:t xml:space="preserve">given the ability to also </w:t>
      </w:r>
      <w:r w:rsidR="00B36345">
        <w:rPr>
          <w:rStyle w:val="Hyperlink"/>
          <w:rFonts w:ascii="Times New Roman" w:hAnsi="Times New Roman" w:cs="Times New Roman"/>
          <w:color w:val="auto"/>
          <w:sz w:val="24"/>
          <w:szCs w:val="24"/>
          <w:u w:val="none"/>
        </w:rPr>
        <w:t xml:space="preserve">extend payment terms and defer their first payment up to 120 days. </w:t>
      </w:r>
    </w:p>
    <w:p w14:paraId="4D8C386D" w14:textId="77777777" w:rsidR="00F0308A" w:rsidRDefault="00F0308A" w:rsidP="00CD2E9D">
      <w:pPr>
        <w:spacing w:line="288" w:lineRule="auto"/>
        <w:rPr>
          <w:rStyle w:val="Hyperlink"/>
          <w:rFonts w:ascii="Times New Roman" w:hAnsi="Times New Roman" w:cs="Times New Roman"/>
          <w:color w:val="auto"/>
          <w:sz w:val="24"/>
          <w:szCs w:val="24"/>
          <w:u w:val="none"/>
        </w:rPr>
      </w:pPr>
    </w:p>
    <w:p w14:paraId="175D9E71" w14:textId="245FEBA4" w:rsidR="00F0308A" w:rsidRDefault="00ED4CE0" w:rsidP="00CD2E9D">
      <w:pPr>
        <w:spacing w:line="288"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Texas Trust also offered relief to 325 members with mortgage loans, granting forbearances and loan modifications that affected </w:t>
      </w:r>
      <w:r w:rsidR="00C3277D">
        <w:rPr>
          <w:rStyle w:val="Hyperlink"/>
          <w:rFonts w:ascii="Times New Roman" w:hAnsi="Times New Roman" w:cs="Times New Roman"/>
          <w:color w:val="auto"/>
          <w:sz w:val="24"/>
          <w:szCs w:val="24"/>
          <w:u w:val="none"/>
        </w:rPr>
        <w:t>more than</w:t>
      </w:r>
      <w:r>
        <w:rPr>
          <w:rStyle w:val="Hyperlink"/>
          <w:rFonts w:ascii="Times New Roman" w:hAnsi="Times New Roman" w:cs="Times New Roman"/>
          <w:color w:val="auto"/>
          <w:sz w:val="24"/>
          <w:szCs w:val="24"/>
          <w:u w:val="none"/>
        </w:rPr>
        <w:t xml:space="preserve"> $45 million in loans. </w:t>
      </w:r>
    </w:p>
    <w:p w14:paraId="700D763B" w14:textId="77777777" w:rsidR="00B36345" w:rsidRDefault="00B36345" w:rsidP="00CD2E9D">
      <w:pPr>
        <w:spacing w:line="288" w:lineRule="auto"/>
        <w:rPr>
          <w:rStyle w:val="Hyperlink"/>
          <w:rFonts w:ascii="Times New Roman" w:hAnsi="Times New Roman" w:cs="Times New Roman"/>
          <w:color w:val="auto"/>
          <w:sz w:val="24"/>
          <w:szCs w:val="24"/>
          <w:u w:val="none"/>
        </w:rPr>
      </w:pPr>
    </w:p>
    <w:p w14:paraId="3429D344" w14:textId="46776B3D" w:rsidR="00CF597B" w:rsidRDefault="00AE7DD1" w:rsidP="00C33672">
      <w:pPr>
        <w:spacing w:line="288"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lastRenderedPageBreak/>
        <w:t xml:space="preserve">Texas Trust </w:t>
      </w:r>
      <w:r w:rsidR="008A1A0D">
        <w:rPr>
          <w:rStyle w:val="Hyperlink"/>
          <w:rFonts w:ascii="Times New Roman" w:hAnsi="Times New Roman" w:cs="Times New Roman"/>
          <w:color w:val="auto"/>
          <w:sz w:val="24"/>
          <w:szCs w:val="24"/>
          <w:u w:val="none"/>
        </w:rPr>
        <w:t xml:space="preserve">responded to the </w:t>
      </w:r>
      <w:r w:rsidR="00CF597B">
        <w:rPr>
          <w:rStyle w:val="Hyperlink"/>
          <w:rFonts w:ascii="Times New Roman" w:hAnsi="Times New Roman" w:cs="Times New Roman"/>
          <w:color w:val="auto"/>
          <w:sz w:val="24"/>
          <w:szCs w:val="24"/>
          <w:u w:val="none"/>
        </w:rPr>
        <w:t xml:space="preserve">community </w:t>
      </w:r>
      <w:r w:rsidR="008A1A0D">
        <w:rPr>
          <w:rStyle w:val="Hyperlink"/>
          <w:rFonts w:ascii="Times New Roman" w:hAnsi="Times New Roman" w:cs="Times New Roman"/>
          <w:color w:val="auto"/>
          <w:sz w:val="24"/>
          <w:szCs w:val="24"/>
          <w:u w:val="none"/>
        </w:rPr>
        <w:t xml:space="preserve">need </w:t>
      </w:r>
      <w:r w:rsidR="00CF597B">
        <w:rPr>
          <w:rStyle w:val="Hyperlink"/>
          <w:rFonts w:ascii="Times New Roman" w:hAnsi="Times New Roman" w:cs="Times New Roman"/>
          <w:color w:val="auto"/>
          <w:sz w:val="24"/>
          <w:szCs w:val="24"/>
          <w:u w:val="none"/>
        </w:rPr>
        <w:t>of</w:t>
      </w:r>
      <w:r w:rsidR="008A1A0D">
        <w:rPr>
          <w:rStyle w:val="Hyperlink"/>
          <w:rFonts w:ascii="Times New Roman" w:hAnsi="Times New Roman" w:cs="Times New Roman"/>
          <w:color w:val="auto"/>
          <w:sz w:val="24"/>
          <w:szCs w:val="24"/>
          <w:u w:val="none"/>
        </w:rPr>
        <w:t xml:space="preserve"> local food banks that were seeing unprecedented demand. The credit union </w:t>
      </w:r>
      <w:r w:rsidR="00CF597B">
        <w:rPr>
          <w:rStyle w:val="Hyperlink"/>
          <w:rFonts w:ascii="Times New Roman" w:hAnsi="Times New Roman" w:cs="Times New Roman"/>
          <w:color w:val="auto"/>
          <w:sz w:val="24"/>
          <w:szCs w:val="24"/>
          <w:u w:val="none"/>
        </w:rPr>
        <w:t xml:space="preserve">donated </w:t>
      </w:r>
      <w:r w:rsidR="007578DD">
        <w:rPr>
          <w:rStyle w:val="Hyperlink"/>
          <w:rFonts w:ascii="Times New Roman" w:hAnsi="Times New Roman" w:cs="Times New Roman"/>
          <w:color w:val="auto"/>
          <w:sz w:val="24"/>
          <w:szCs w:val="24"/>
          <w:u w:val="none"/>
        </w:rPr>
        <w:t xml:space="preserve">a total of </w:t>
      </w:r>
      <w:r w:rsidR="00CF597B">
        <w:rPr>
          <w:rStyle w:val="Hyperlink"/>
          <w:rFonts w:ascii="Times New Roman" w:hAnsi="Times New Roman" w:cs="Times New Roman"/>
          <w:color w:val="auto"/>
          <w:sz w:val="24"/>
          <w:szCs w:val="24"/>
          <w:u w:val="none"/>
        </w:rPr>
        <w:t xml:space="preserve">$25,000 to three food banks, which allowed them to provide more than 131,000 meals to those in need. </w:t>
      </w:r>
    </w:p>
    <w:p w14:paraId="1F77A03B" w14:textId="77777777" w:rsidR="00CF597B" w:rsidRDefault="00CF597B" w:rsidP="00C33672">
      <w:pPr>
        <w:spacing w:line="288" w:lineRule="auto"/>
        <w:rPr>
          <w:rStyle w:val="Hyperlink"/>
          <w:rFonts w:ascii="Times New Roman" w:hAnsi="Times New Roman" w:cs="Times New Roman"/>
          <w:color w:val="auto"/>
          <w:sz w:val="24"/>
          <w:szCs w:val="24"/>
          <w:u w:val="none"/>
        </w:rPr>
      </w:pPr>
    </w:p>
    <w:p w14:paraId="5E94937E" w14:textId="47A2F3DC" w:rsidR="008A1A0D" w:rsidRDefault="00CF597B" w:rsidP="00C33672">
      <w:pPr>
        <w:spacing w:line="288"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The credit union also expanded its scholarship program</w:t>
      </w:r>
      <w:r w:rsidR="00A03F2E">
        <w:rPr>
          <w:rStyle w:val="Hyperlink"/>
          <w:rFonts w:ascii="Times New Roman" w:hAnsi="Times New Roman" w:cs="Times New Roman"/>
          <w:color w:val="auto"/>
          <w:sz w:val="24"/>
          <w:szCs w:val="24"/>
          <w:u w:val="none"/>
        </w:rPr>
        <w:t xml:space="preserve"> last year</w:t>
      </w:r>
      <w:r>
        <w:rPr>
          <w:rStyle w:val="Hyperlink"/>
          <w:rFonts w:ascii="Times New Roman" w:hAnsi="Times New Roman" w:cs="Times New Roman"/>
          <w:color w:val="auto"/>
          <w:sz w:val="24"/>
          <w:szCs w:val="24"/>
          <w:u w:val="none"/>
        </w:rPr>
        <w:t xml:space="preserve">, </w:t>
      </w:r>
      <w:r w:rsidR="007578DD">
        <w:rPr>
          <w:rStyle w:val="Hyperlink"/>
          <w:rFonts w:ascii="Times New Roman" w:hAnsi="Times New Roman" w:cs="Times New Roman"/>
          <w:color w:val="auto"/>
          <w:sz w:val="24"/>
          <w:szCs w:val="24"/>
          <w:u w:val="none"/>
        </w:rPr>
        <w:t xml:space="preserve">giving </w:t>
      </w:r>
      <w:r>
        <w:rPr>
          <w:rStyle w:val="Hyperlink"/>
          <w:rFonts w:ascii="Times New Roman" w:hAnsi="Times New Roman" w:cs="Times New Roman"/>
          <w:color w:val="auto"/>
          <w:sz w:val="24"/>
          <w:szCs w:val="24"/>
          <w:u w:val="none"/>
        </w:rPr>
        <w:t>more than $30,000 in scholarships. Texas Trust also gave merrily during Christmas time to Toys for Tots and granted $6,000 in Christmas wishes to two deserving families through the KLTY Christmas Wish campaign.</w:t>
      </w:r>
    </w:p>
    <w:p w14:paraId="305A9786" w14:textId="77777777" w:rsidR="00A03F2E" w:rsidRDefault="00A03F2E" w:rsidP="00C33672">
      <w:pPr>
        <w:spacing w:line="288" w:lineRule="auto"/>
        <w:rPr>
          <w:rStyle w:val="Hyperlink"/>
          <w:rFonts w:ascii="Times New Roman" w:hAnsi="Times New Roman" w:cs="Times New Roman"/>
          <w:color w:val="auto"/>
          <w:sz w:val="24"/>
          <w:szCs w:val="24"/>
          <w:u w:val="none"/>
        </w:rPr>
      </w:pPr>
    </w:p>
    <w:p w14:paraId="1E73CE9E" w14:textId="00F0ABD0" w:rsidR="00A03F2E" w:rsidRDefault="00A03F2E" w:rsidP="00C33672">
      <w:pPr>
        <w:spacing w:line="288"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“Last year will be remembered for years to come by everyone,” said Jim Minge, CEO of Texas Trust Credit Union. “Our employees worked through extreme challenges – both professionally and personally – and </w:t>
      </w:r>
      <w:r w:rsidR="00CA735B">
        <w:rPr>
          <w:rStyle w:val="Hyperlink"/>
          <w:rFonts w:ascii="Times New Roman" w:hAnsi="Times New Roman" w:cs="Times New Roman"/>
          <w:color w:val="auto"/>
          <w:sz w:val="24"/>
          <w:szCs w:val="24"/>
          <w:u w:val="none"/>
        </w:rPr>
        <w:t>I am</w:t>
      </w:r>
      <w:r>
        <w:rPr>
          <w:rStyle w:val="Hyperlink"/>
          <w:rFonts w:ascii="Times New Roman" w:hAnsi="Times New Roman" w:cs="Times New Roman"/>
          <w:color w:val="auto"/>
          <w:sz w:val="24"/>
          <w:szCs w:val="24"/>
          <w:u w:val="none"/>
        </w:rPr>
        <w:t xml:space="preserve"> proud of what they accomplished. </w:t>
      </w:r>
      <w:r w:rsidR="00CA735B">
        <w:rPr>
          <w:rStyle w:val="Hyperlink"/>
          <w:rFonts w:ascii="Times New Roman" w:hAnsi="Times New Roman" w:cs="Times New Roman"/>
          <w:color w:val="auto"/>
          <w:sz w:val="24"/>
          <w:szCs w:val="24"/>
          <w:u w:val="none"/>
        </w:rPr>
        <w:t>We are a stronger organization because of their determination and hard work.”</w:t>
      </w:r>
    </w:p>
    <w:p w14:paraId="68D3BAEC" w14:textId="77777777" w:rsidR="00A03F2E" w:rsidRDefault="00A03F2E" w:rsidP="00C33672">
      <w:pPr>
        <w:spacing w:line="288" w:lineRule="auto"/>
        <w:rPr>
          <w:rStyle w:val="Hyperlink"/>
          <w:rFonts w:ascii="Times New Roman" w:hAnsi="Times New Roman" w:cs="Times New Roman"/>
          <w:color w:val="auto"/>
          <w:sz w:val="24"/>
          <w:szCs w:val="24"/>
          <w:u w:val="none"/>
        </w:rPr>
      </w:pPr>
    </w:p>
    <w:p w14:paraId="520515CA" w14:textId="1999480D" w:rsidR="000B2C9D" w:rsidRDefault="00043B74" w:rsidP="00C33672">
      <w:pPr>
        <w:spacing w:line="288"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Minge added, “Our members also struggled with numerous financial obstacles brought on by the pandemic.</w:t>
      </w:r>
      <w:r w:rsidR="00C511BB">
        <w:rPr>
          <w:rStyle w:val="Hyperlink"/>
          <w:rFonts w:ascii="Times New Roman" w:hAnsi="Times New Roman" w:cs="Times New Roman"/>
          <w:color w:val="auto"/>
          <w:sz w:val="24"/>
          <w:szCs w:val="24"/>
          <w:u w:val="none"/>
        </w:rPr>
        <w:t xml:space="preserve"> </w:t>
      </w:r>
      <w:r w:rsidR="001C47AF">
        <w:rPr>
          <w:rStyle w:val="Hyperlink"/>
          <w:rFonts w:ascii="Times New Roman" w:hAnsi="Times New Roman" w:cs="Times New Roman"/>
          <w:color w:val="auto"/>
          <w:sz w:val="24"/>
          <w:szCs w:val="24"/>
          <w:u w:val="none"/>
        </w:rPr>
        <w:t xml:space="preserve">We are committed to continuing </w:t>
      </w:r>
      <w:r w:rsidR="00AE7DD1">
        <w:rPr>
          <w:rStyle w:val="Hyperlink"/>
          <w:rFonts w:ascii="Times New Roman" w:hAnsi="Times New Roman" w:cs="Times New Roman"/>
          <w:color w:val="auto"/>
          <w:sz w:val="24"/>
          <w:szCs w:val="24"/>
          <w:u w:val="none"/>
        </w:rPr>
        <w:t>to provide</w:t>
      </w:r>
      <w:r w:rsidR="001C47AF">
        <w:rPr>
          <w:rStyle w:val="Hyperlink"/>
          <w:rFonts w:ascii="Times New Roman" w:hAnsi="Times New Roman" w:cs="Times New Roman"/>
          <w:color w:val="auto"/>
          <w:sz w:val="24"/>
          <w:szCs w:val="24"/>
          <w:u w:val="none"/>
        </w:rPr>
        <w:t xml:space="preserve"> financial services and tools to help them build brighter financial futures.”</w:t>
      </w:r>
    </w:p>
    <w:p w14:paraId="52C891C0" w14:textId="3D2D471F" w:rsidR="003A4EB0" w:rsidRDefault="003A4EB0" w:rsidP="00C33672">
      <w:pPr>
        <w:spacing w:line="288" w:lineRule="auto"/>
        <w:rPr>
          <w:rStyle w:val="Hyperlink"/>
          <w:rFonts w:ascii="Times New Roman" w:hAnsi="Times New Roman" w:cs="Times New Roman"/>
          <w:color w:val="auto"/>
          <w:sz w:val="24"/>
          <w:szCs w:val="24"/>
          <w:u w:val="none"/>
        </w:rPr>
      </w:pPr>
    </w:p>
    <w:p w14:paraId="4DD18138" w14:textId="08F3A3CB" w:rsidR="00AE7DD1" w:rsidRDefault="003A4EB0" w:rsidP="00C33672">
      <w:pPr>
        <w:spacing w:line="288"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A copy of Texas Trust’s 2020 Annual Report can be downloaded </w:t>
      </w:r>
      <w:hyperlink r:id="rId10" w:history="1">
        <w:r w:rsidRPr="003A4EB0">
          <w:rPr>
            <w:rStyle w:val="Hyperlink"/>
            <w:rFonts w:ascii="Times New Roman" w:hAnsi="Times New Roman" w:cs="Times New Roman"/>
            <w:sz w:val="24"/>
            <w:szCs w:val="24"/>
          </w:rPr>
          <w:t>here</w:t>
        </w:r>
      </w:hyperlink>
      <w:r>
        <w:rPr>
          <w:rStyle w:val="Hyperlink"/>
          <w:rFonts w:ascii="Times New Roman" w:hAnsi="Times New Roman" w:cs="Times New Roman"/>
          <w:color w:val="auto"/>
          <w:sz w:val="24"/>
          <w:szCs w:val="24"/>
          <w:u w:val="none"/>
        </w:rPr>
        <w:t xml:space="preserve">. </w:t>
      </w:r>
      <w:r w:rsidR="00FC744B">
        <w:rPr>
          <w:rStyle w:val="Hyperlink"/>
          <w:rFonts w:ascii="Times New Roman" w:hAnsi="Times New Roman" w:cs="Times New Roman"/>
          <w:color w:val="auto"/>
          <w:sz w:val="24"/>
          <w:szCs w:val="24"/>
          <w:u w:val="none"/>
        </w:rPr>
        <w:t xml:space="preserve">And the infographic is available </w:t>
      </w:r>
      <w:hyperlink r:id="rId11" w:history="1">
        <w:r w:rsidR="00FC744B" w:rsidRPr="00FC744B">
          <w:rPr>
            <w:rStyle w:val="Hyperlink"/>
            <w:rFonts w:ascii="Times New Roman" w:hAnsi="Times New Roman" w:cs="Times New Roman"/>
            <w:sz w:val="24"/>
            <w:szCs w:val="24"/>
          </w:rPr>
          <w:t>here</w:t>
        </w:r>
      </w:hyperlink>
      <w:r w:rsidR="00FC744B">
        <w:rPr>
          <w:rStyle w:val="Hyperlink"/>
          <w:rFonts w:ascii="Times New Roman" w:hAnsi="Times New Roman" w:cs="Times New Roman"/>
          <w:color w:val="auto"/>
          <w:sz w:val="24"/>
          <w:szCs w:val="24"/>
          <w:u w:val="none"/>
        </w:rPr>
        <w:t>.</w:t>
      </w:r>
    </w:p>
    <w:p w14:paraId="0788C673" w14:textId="77777777" w:rsidR="003A4EB0" w:rsidRPr="003A4EB0" w:rsidRDefault="003A4EB0" w:rsidP="00C33672">
      <w:pPr>
        <w:spacing w:line="288" w:lineRule="auto"/>
        <w:rPr>
          <w:rStyle w:val="Hyperlink"/>
          <w:rFonts w:ascii="Times New Roman" w:hAnsi="Times New Roman" w:cs="Times New Roman"/>
          <w:color w:val="auto"/>
          <w:sz w:val="24"/>
          <w:szCs w:val="24"/>
          <w:u w:val="none"/>
        </w:rPr>
      </w:pPr>
    </w:p>
    <w:p w14:paraId="16E5A527" w14:textId="77777777" w:rsidR="00070552" w:rsidRPr="00AD13E4" w:rsidRDefault="00070552" w:rsidP="00070552">
      <w:pPr>
        <w:rPr>
          <w:rFonts w:ascii="Times New Roman" w:hAnsi="Times New Roman" w:cs="Times New Roman"/>
          <w:b/>
        </w:rPr>
      </w:pPr>
      <w:r w:rsidRPr="00AD13E4">
        <w:rPr>
          <w:rFonts w:ascii="Times New Roman" w:hAnsi="Times New Roman" w:cs="Times New Roman"/>
          <w:b/>
        </w:rPr>
        <w:t>About Texas Trust Credit Union</w:t>
      </w:r>
    </w:p>
    <w:p w14:paraId="02FD7CF3" w14:textId="4BD5AED4" w:rsidR="00070552" w:rsidRDefault="00070552" w:rsidP="00070552">
      <w:pPr>
        <w:pStyle w:val="NormalWeb"/>
        <w:spacing w:before="0" w:beforeAutospacing="0" w:after="0" w:afterAutospacing="0"/>
        <w:rPr>
          <w:rStyle w:val="Hyperlink"/>
          <w:sz w:val="22"/>
          <w:szCs w:val="22"/>
        </w:rPr>
      </w:pPr>
      <w:r>
        <w:rPr>
          <w:sz w:val="22"/>
          <w:szCs w:val="22"/>
        </w:rPr>
        <w:t xml:space="preserve">Texas </w:t>
      </w:r>
      <w:r w:rsidRPr="00A42CC0">
        <w:rPr>
          <w:sz w:val="22"/>
          <w:szCs w:val="22"/>
        </w:rPr>
        <w:t>Trust Credit Unio</w:t>
      </w:r>
      <w:r>
        <w:rPr>
          <w:sz w:val="22"/>
          <w:szCs w:val="22"/>
        </w:rPr>
        <w:t>n has been helping build brighter</w:t>
      </w:r>
      <w:r w:rsidRPr="00A42CC0">
        <w:rPr>
          <w:sz w:val="22"/>
          <w:szCs w:val="22"/>
        </w:rPr>
        <w:t xml:space="preserve"> financial futures since its </w:t>
      </w:r>
      <w:r>
        <w:rPr>
          <w:sz w:val="22"/>
          <w:szCs w:val="22"/>
        </w:rPr>
        <w:t>modest beginning</w:t>
      </w:r>
      <w:r w:rsidRPr="00A42CC0">
        <w:rPr>
          <w:sz w:val="22"/>
          <w:szCs w:val="22"/>
        </w:rPr>
        <w:t xml:space="preserve"> in 1936. </w:t>
      </w:r>
      <w:r>
        <w:rPr>
          <w:sz w:val="22"/>
          <w:szCs w:val="22"/>
        </w:rPr>
        <w:t>Today, the full-service credit union serves more than 120,000 members. With assets of more than $1.</w:t>
      </w:r>
      <w:r w:rsidR="001C47AF">
        <w:rPr>
          <w:sz w:val="22"/>
          <w:szCs w:val="22"/>
        </w:rPr>
        <w:t>6</w:t>
      </w:r>
      <w:r>
        <w:rPr>
          <w:sz w:val="22"/>
          <w:szCs w:val="22"/>
        </w:rPr>
        <w:t xml:space="preserve"> billion, Texas Trust is the 5</w:t>
      </w:r>
      <w:r w:rsidRPr="00A71D05">
        <w:rPr>
          <w:sz w:val="22"/>
          <w:szCs w:val="22"/>
          <w:vertAlign w:val="superscript"/>
        </w:rPr>
        <w:t>th</w:t>
      </w:r>
      <w:r>
        <w:rPr>
          <w:sz w:val="22"/>
          <w:szCs w:val="22"/>
        </w:rPr>
        <w:t xml:space="preserve"> largest credit union in North Texas and the 16</w:t>
      </w:r>
      <w:r w:rsidRPr="00A71D05">
        <w:rPr>
          <w:sz w:val="22"/>
          <w:szCs w:val="22"/>
          <w:vertAlign w:val="superscript"/>
        </w:rPr>
        <w:t>th</w:t>
      </w:r>
      <w:r>
        <w:rPr>
          <w:sz w:val="22"/>
          <w:szCs w:val="22"/>
        </w:rPr>
        <w:t xml:space="preserve"> largest in Texas. With a focus on the community, Texas Trust is creating a legacy of giving through generous financial donations that support local school programs and activities, non-profit organizations, and student scholarships; and by providing volunteer resources through its Community Unity team, which supports scores of charitable events each year. </w:t>
      </w:r>
      <w:r w:rsidRPr="00AE0C84">
        <w:rPr>
          <w:sz w:val="22"/>
          <w:szCs w:val="22"/>
        </w:rPr>
        <w:t xml:space="preserve">For more information, visit </w:t>
      </w:r>
      <w:hyperlink r:id="rId12" w:history="1">
        <w:r w:rsidRPr="00AE0C84">
          <w:rPr>
            <w:rStyle w:val="Hyperlink"/>
            <w:color w:val="0070C0"/>
            <w:sz w:val="22"/>
            <w:szCs w:val="22"/>
            <w:u w:color="0070C0"/>
          </w:rPr>
          <w:t>TexasTrustCU.org</w:t>
        </w:r>
      </w:hyperlink>
      <w:r w:rsidRPr="00AE0C84">
        <w:rPr>
          <w:sz w:val="22"/>
          <w:szCs w:val="22"/>
        </w:rPr>
        <w:t xml:space="preserve"> or follow us on</w:t>
      </w:r>
      <w:r>
        <w:rPr>
          <w:sz w:val="22"/>
          <w:szCs w:val="22"/>
        </w:rPr>
        <w:t xml:space="preserve"> Facebook at</w:t>
      </w:r>
      <w:r w:rsidRPr="00AE0C84">
        <w:rPr>
          <w:sz w:val="22"/>
          <w:szCs w:val="22"/>
        </w:rPr>
        <w:t xml:space="preserve"> </w:t>
      </w:r>
      <w:hyperlink r:id="rId13" w:history="1">
        <w:r w:rsidRPr="00AE0C84">
          <w:rPr>
            <w:rStyle w:val="Hyperlink"/>
            <w:color w:val="0070C0"/>
            <w:sz w:val="22"/>
            <w:szCs w:val="22"/>
            <w:u w:color="0070C0"/>
          </w:rPr>
          <w:t>facebook.com/</w:t>
        </w:r>
        <w:proofErr w:type="spellStart"/>
        <w:r w:rsidRPr="00AE0C84">
          <w:rPr>
            <w:rStyle w:val="Hyperlink"/>
            <w:color w:val="0070C0"/>
            <w:sz w:val="22"/>
            <w:szCs w:val="22"/>
            <w:u w:color="0070C0"/>
          </w:rPr>
          <w:t>texastrustcu</w:t>
        </w:r>
        <w:proofErr w:type="spellEnd"/>
      </w:hyperlink>
      <w:r w:rsidRPr="00AE0C84">
        <w:rPr>
          <w:sz w:val="22"/>
          <w:szCs w:val="22"/>
        </w:rPr>
        <w:t xml:space="preserve"> or Twitter at </w:t>
      </w:r>
      <w:hyperlink r:id="rId14" w:history="1">
        <w:r w:rsidRPr="00AE0C84">
          <w:rPr>
            <w:rStyle w:val="Hyperlink"/>
            <w:color w:val="0070C0"/>
            <w:sz w:val="22"/>
            <w:szCs w:val="22"/>
            <w:u w:color="0070C0"/>
          </w:rPr>
          <w:t>@</w:t>
        </w:r>
        <w:proofErr w:type="spellStart"/>
        <w:r w:rsidRPr="00AE0C84">
          <w:rPr>
            <w:rStyle w:val="Hyperlink"/>
            <w:color w:val="0070C0"/>
            <w:sz w:val="22"/>
            <w:szCs w:val="22"/>
            <w:u w:color="0070C0"/>
          </w:rPr>
          <w:t>texastrustcu</w:t>
        </w:r>
        <w:proofErr w:type="spellEnd"/>
      </w:hyperlink>
      <w:r w:rsidRPr="00AE0C84">
        <w:rPr>
          <w:rStyle w:val="Hyperlink"/>
          <w:sz w:val="22"/>
          <w:szCs w:val="22"/>
        </w:rPr>
        <w:t>.</w:t>
      </w:r>
    </w:p>
    <w:p w14:paraId="26ECC684" w14:textId="77777777" w:rsidR="00FE4124" w:rsidRDefault="00FE4124" w:rsidP="009616A8">
      <w:pPr>
        <w:jc w:val="center"/>
        <w:rPr>
          <w:rFonts w:ascii="Times New Roman" w:hAnsi="Times New Roman" w:cs="Times New Roman"/>
          <w:sz w:val="20"/>
          <w:szCs w:val="20"/>
        </w:rPr>
      </w:pPr>
    </w:p>
    <w:p w14:paraId="648888E6" w14:textId="77777777" w:rsidR="009A7BF7" w:rsidRDefault="00466954" w:rsidP="009616A8">
      <w:pPr>
        <w:jc w:val="center"/>
        <w:rPr>
          <w:rFonts w:ascii="Times New Roman" w:hAnsi="Times New Roman"/>
        </w:rPr>
      </w:pPr>
      <w:r w:rsidRPr="00C541F7">
        <w:rPr>
          <w:rFonts w:ascii="Times New Roman" w:hAnsi="Times New Roman" w:cs="Times New Roman"/>
          <w:sz w:val="20"/>
          <w:szCs w:val="20"/>
        </w:rPr>
        <w:t>###</w:t>
      </w:r>
    </w:p>
    <w:p w14:paraId="2C36B4E1" w14:textId="77777777" w:rsidR="00986879" w:rsidRDefault="00986879" w:rsidP="009616A8">
      <w:pPr>
        <w:jc w:val="center"/>
        <w:rPr>
          <w:rFonts w:ascii="Times New Roman" w:hAnsi="Times New Roman"/>
        </w:rPr>
      </w:pPr>
    </w:p>
    <w:p w14:paraId="723D0ACB" w14:textId="04E5A3C4" w:rsidR="00986879" w:rsidRDefault="00986879" w:rsidP="00986879">
      <w:pPr>
        <w:jc w:val="center"/>
        <w:rPr>
          <w:rFonts w:ascii="Times New Roman" w:hAnsi="Times New Roman"/>
        </w:rPr>
      </w:pPr>
    </w:p>
    <w:sectPr w:rsidR="00986879" w:rsidSect="00CC68E3">
      <w:headerReference w:type="default" r:id="rId15"/>
      <w:pgSz w:w="12240" w:h="15840" w:code="1"/>
      <w:pgMar w:top="1440" w:right="1440" w:bottom="864" w:left="1440" w:header="432"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288F31" w16cid:durableId="23DA18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3644C" w14:textId="77777777" w:rsidR="006B2B0E" w:rsidRDefault="006B2B0E">
      <w:r>
        <w:separator/>
      </w:r>
    </w:p>
  </w:endnote>
  <w:endnote w:type="continuationSeparator" w:id="0">
    <w:p w14:paraId="2B78D451" w14:textId="77777777" w:rsidR="006B2B0E" w:rsidRDefault="006B2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BF269" w14:textId="77777777" w:rsidR="006B2B0E" w:rsidRDefault="006B2B0E">
      <w:r>
        <w:separator/>
      </w:r>
    </w:p>
  </w:footnote>
  <w:footnote w:type="continuationSeparator" w:id="0">
    <w:p w14:paraId="58738443" w14:textId="77777777" w:rsidR="006B2B0E" w:rsidRDefault="006B2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715DE" w14:textId="77777777" w:rsidR="006B2B0E" w:rsidRDefault="006B2B0E">
    <w:pPr>
      <w:pStyle w:val="Header"/>
    </w:pPr>
    <w:r>
      <w:rPr>
        <w:noProof/>
        <w:lang w:val="en-US" w:eastAsia="en-US"/>
      </w:rPr>
      <mc:AlternateContent>
        <mc:Choice Requires="wps">
          <w:drawing>
            <wp:anchor distT="0" distB="0" distL="114300" distR="114300" simplePos="0" relativeHeight="251657728" behindDoc="0" locked="0" layoutInCell="1" allowOverlap="1" wp14:anchorId="515849BE" wp14:editId="4311DB02">
              <wp:simplePos x="0" y="0"/>
              <wp:positionH relativeFrom="column">
                <wp:posOffset>3629025</wp:posOffset>
              </wp:positionH>
              <wp:positionV relativeFrom="paragraph">
                <wp:posOffset>44450</wp:posOffset>
              </wp:positionV>
              <wp:extent cx="2693670" cy="139573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1395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D7436E" w14:textId="77777777" w:rsidR="006B2B0E" w:rsidRPr="00AD13E4" w:rsidRDefault="006B2B0E" w:rsidP="005C4AB9">
                          <w:pPr>
                            <w:rPr>
                              <w:rFonts w:ascii="Times New Roman" w:hAnsi="Times New Roman" w:cs="Times New Roman"/>
                              <w:b/>
                            </w:rPr>
                          </w:pPr>
                          <w:r w:rsidRPr="00AD13E4">
                            <w:rPr>
                              <w:rFonts w:ascii="Times New Roman" w:hAnsi="Times New Roman" w:cs="Times New Roman"/>
                              <w:b/>
                            </w:rPr>
                            <w:t>Press Contacts:</w:t>
                          </w:r>
                        </w:p>
                        <w:p w14:paraId="5EB450FA" w14:textId="77777777" w:rsidR="006B2B0E" w:rsidRPr="00AD13E4" w:rsidRDefault="006B2B0E" w:rsidP="00070552">
                          <w:pPr>
                            <w:rPr>
                              <w:rFonts w:ascii="Times New Roman" w:hAnsi="Times New Roman" w:cs="Times New Roman"/>
                            </w:rPr>
                          </w:pPr>
                          <w:r>
                            <w:rPr>
                              <w:rFonts w:ascii="Times New Roman" w:hAnsi="Times New Roman" w:cs="Times New Roman"/>
                            </w:rPr>
                            <w:t>Toni Nichols</w:t>
                          </w:r>
                          <w:r w:rsidRPr="00AD13E4">
                            <w:rPr>
                              <w:rFonts w:ascii="Times New Roman" w:hAnsi="Times New Roman" w:cs="Times New Roman"/>
                            </w:rPr>
                            <w:t>, Texas Trust</w:t>
                          </w:r>
                          <w:r>
                            <w:rPr>
                              <w:rFonts w:ascii="Times New Roman" w:hAnsi="Times New Roman" w:cs="Times New Roman"/>
                            </w:rPr>
                            <w:t xml:space="preserve"> Credit Union</w:t>
                          </w:r>
                        </w:p>
                        <w:p w14:paraId="46935F03" w14:textId="77777777" w:rsidR="006B2B0E" w:rsidRPr="0071113E" w:rsidRDefault="006B2B0E" w:rsidP="00070552">
                          <w:pPr>
                            <w:rPr>
                              <w:rFonts w:ascii="Times New Roman" w:hAnsi="Times New Roman" w:cs="Times New Roman"/>
                            </w:rPr>
                          </w:pPr>
                          <w:r>
                            <w:rPr>
                              <w:rFonts w:ascii="Times New Roman" w:hAnsi="Times New Roman" w:cs="Times New Roman"/>
                            </w:rPr>
                            <w:t>972-595-</w:t>
                          </w:r>
                          <w:r w:rsidRPr="0071113E">
                            <w:rPr>
                              <w:rFonts w:ascii="Times New Roman" w:hAnsi="Times New Roman" w:cs="Times New Roman"/>
                            </w:rPr>
                            <w:t>1017</w:t>
                          </w:r>
                        </w:p>
                        <w:p w14:paraId="1EB0C7EA" w14:textId="77777777" w:rsidR="006B2B0E" w:rsidRPr="0071113E" w:rsidRDefault="00763435" w:rsidP="00070552">
                          <w:pPr>
                            <w:rPr>
                              <w:rFonts w:ascii="Times New Roman" w:hAnsi="Times New Roman" w:cs="Times New Roman"/>
                            </w:rPr>
                          </w:pPr>
                          <w:hyperlink r:id="rId1" w:history="1">
                            <w:r w:rsidR="006B2B0E" w:rsidRPr="0071113E">
                              <w:rPr>
                                <w:rStyle w:val="Hyperlink"/>
                                <w:rFonts w:ascii="Times New Roman" w:hAnsi="Times New Roman"/>
                              </w:rPr>
                              <w:t>tnichols@texastrustcu.org</w:t>
                            </w:r>
                          </w:hyperlink>
                        </w:p>
                        <w:p w14:paraId="7EF21CF8" w14:textId="77777777" w:rsidR="006B2B0E" w:rsidRPr="00AD13E4" w:rsidRDefault="006B2B0E" w:rsidP="00070552">
                          <w:pPr>
                            <w:rPr>
                              <w:rFonts w:ascii="Times New Roman" w:hAnsi="Times New Roman" w:cs="Times New Roman"/>
                            </w:rPr>
                          </w:pPr>
                        </w:p>
                        <w:p w14:paraId="294E4271" w14:textId="77777777" w:rsidR="006B2B0E" w:rsidRPr="00AD13E4" w:rsidRDefault="006B2B0E" w:rsidP="00070552">
                          <w:pPr>
                            <w:rPr>
                              <w:rFonts w:ascii="Times New Roman" w:hAnsi="Times New Roman" w:cs="Times New Roman"/>
                            </w:rPr>
                          </w:pPr>
                          <w:r w:rsidRPr="00AD13E4">
                            <w:rPr>
                              <w:rFonts w:ascii="Times New Roman" w:hAnsi="Times New Roman" w:cs="Times New Roman"/>
                            </w:rPr>
                            <w:t>Kristine Tanzillo, Dux Public Relations</w:t>
                          </w:r>
                        </w:p>
                        <w:p w14:paraId="3A57B5B4" w14:textId="77777777" w:rsidR="006B2B0E" w:rsidRPr="00AD13E4" w:rsidRDefault="006B2B0E" w:rsidP="00070552">
                          <w:pPr>
                            <w:rPr>
                              <w:rFonts w:ascii="Times New Roman" w:hAnsi="Times New Roman" w:cs="Times New Roman"/>
                            </w:rPr>
                          </w:pPr>
                          <w:r>
                            <w:rPr>
                              <w:rFonts w:ascii="Times New Roman" w:hAnsi="Times New Roman" w:cs="Times New Roman"/>
                            </w:rPr>
                            <w:t>903-865-</w:t>
                          </w:r>
                          <w:r w:rsidRPr="00AD13E4">
                            <w:rPr>
                              <w:rFonts w:ascii="Times New Roman" w:hAnsi="Times New Roman" w:cs="Times New Roman"/>
                            </w:rPr>
                            <w:t>1078</w:t>
                          </w:r>
                        </w:p>
                        <w:p w14:paraId="51E28D43" w14:textId="77777777" w:rsidR="006B2B0E" w:rsidRPr="00AD13E4" w:rsidRDefault="00763435" w:rsidP="00070552">
                          <w:pPr>
                            <w:rPr>
                              <w:rFonts w:ascii="Times New Roman" w:hAnsi="Times New Roman" w:cs="Times New Roman"/>
                            </w:rPr>
                          </w:pPr>
                          <w:hyperlink r:id="rId2" w:history="1">
                            <w:r w:rsidR="006B2B0E" w:rsidRPr="00AD13E4">
                              <w:rPr>
                                <w:rStyle w:val="Hyperlink"/>
                                <w:rFonts w:ascii="Times New Roman" w:hAnsi="Times New Roman" w:cs="Times New Roman"/>
                              </w:rPr>
                              <w:t>kristine@duxpr.com</w:t>
                            </w:r>
                          </w:hyperlink>
                        </w:p>
                        <w:p w14:paraId="4AAB5CD2" w14:textId="77777777" w:rsidR="006B2B0E" w:rsidRPr="00AD13E4" w:rsidRDefault="006B2B0E" w:rsidP="005C4AB9">
                          <w:pPr>
                            <w:rPr>
                              <w:rFonts w:ascii="Times New Roman" w:hAnsi="Times New Roman" w:cs="Times New Roman"/>
                            </w:rPr>
                          </w:pPr>
                        </w:p>
                        <w:p w14:paraId="2B14C8C5" w14:textId="77777777" w:rsidR="006B2B0E" w:rsidRDefault="006B2B0E" w:rsidP="005C4AB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5849BE" id="_x0000_t202" coordsize="21600,21600" o:spt="202" path="m,l,21600r21600,l21600,xe">
              <v:stroke joinstyle="miter"/>
              <v:path gradientshapeok="t" o:connecttype="rect"/>
            </v:shapetype>
            <v:shape id="Text Box 2" o:spid="_x0000_s1026" type="#_x0000_t202" style="position:absolute;margin-left:285.75pt;margin-top:3.5pt;width:212.1pt;height:10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" stroked="f">
              <v:textbox>
                <w:txbxContent>
                  <w:p w14:paraId="67D7436E" w14:textId="77777777" w:rsidR="005C4AB9" w:rsidRPr="00AD13E4" w:rsidRDefault="005C4AB9" w:rsidP="005C4AB9">
                    <w:pPr>
                      <w:rPr>
                        <w:rFonts w:ascii="Times New Roman" w:hAnsi="Times New Roman" w:cs="Times New Roman"/>
                        <w:b/>
                      </w:rPr>
                    </w:pPr>
                    <w:r w:rsidRPr="00AD13E4">
                      <w:rPr>
                        <w:rFonts w:ascii="Times New Roman" w:hAnsi="Times New Roman" w:cs="Times New Roman"/>
                        <w:b/>
                      </w:rPr>
                      <w:t>Press Contacts:</w:t>
                    </w:r>
                  </w:p>
                  <w:p w14:paraId="5EB450FA" w14:textId="77777777" w:rsidR="00070552" w:rsidRPr="00AD13E4" w:rsidRDefault="00070552" w:rsidP="00070552">
                    <w:pPr>
                      <w:rPr>
                        <w:rFonts w:ascii="Times New Roman" w:hAnsi="Times New Roman" w:cs="Times New Roman"/>
                      </w:rPr>
                    </w:pPr>
                    <w:r>
                      <w:rPr>
                        <w:rFonts w:ascii="Times New Roman" w:hAnsi="Times New Roman" w:cs="Times New Roman"/>
                      </w:rPr>
                      <w:t>Toni Nichols</w:t>
                    </w:r>
                    <w:r w:rsidRPr="00AD13E4">
                      <w:rPr>
                        <w:rFonts w:ascii="Times New Roman" w:hAnsi="Times New Roman" w:cs="Times New Roman"/>
                      </w:rPr>
                      <w:t>, Texas Trust</w:t>
                    </w:r>
                    <w:r>
                      <w:rPr>
                        <w:rFonts w:ascii="Times New Roman" w:hAnsi="Times New Roman" w:cs="Times New Roman"/>
                      </w:rPr>
                      <w:t xml:space="preserve"> Credit Union</w:t>
                    </w:r>
                  </w:p>
                  <w:p w14:paraId="46935F03" w14:textId="77777777" w:rsidR="00070552" w:rsidRPr="0071113E" w:rsidRDefault="00070552" w:rsidP="00070552">
                    <w:pPr>
                      <w:rPr>
                        <w:rFonts w:ascii="Times New Roman" w:hAnsi="Times New Roman" w:cs="Times New Roman"/>
                      </w:rPr>
                    </w:pPr>
                    <w:r>
                      <w:rPr>
                        <w:rFonts w:ascii="Times New Roman" w:hAnsi="Times New Roman" w:cs="Times New Roman"/>
                      </w:rPr>
                      <w:t>972-595-</w:t>
                    </w:r>
                    <w:r w:rsidRPr="0071113E">
                      <w:rPr>
                        <w:rFonts w:ascii="Times New Roman" w:hAnsi="Times New Roman" w:cs="Times New Roman"/>
                      </w:rPr>
                      <w:t>1017</w:t>
                    </w:r>
                  </w:p>
                  <w:p w14:paraId="1EB0C7EA" w14:textId="77777777" w:rsidR="00070552" w:rsidRPr="0071113E" w:rsidRDefault="00A02A40" w:rsidP="00070552">
                    <w:pPr>
                      <w:rPr>
                        <w:rFonts w:ascii="Times New Roman" w:hAnsi="Times New Roman" w:cs="Times New Roman"/>
                      </w:rPr>
                    </w:pPr>
                    <w:hyperlink r:id="rId3" w:history="1">
                      <w:r w:rsidR="00070552" w:rsidRPr="0071113E">
                        <w:rPr>
                          <w:rStyle w:val="Hyperlink"/>
                          <w:rFonts w:ascii="Times New Roman" w:hAnsi="Times New Roman"/>
                        </w:rPr>
                        <w:t>tnichols@texastrustcu.org</w:t>
                      </w:r>
                    </w:hyperlink>
                  </w:p>
                  <w:p w14:paraId="7EF21CF8" w14:textId="77777777" w:rsidR="00070552" w:rsidRPr="00AD13E4" w:rsidRDefault="00070552" w:rsidP="00070552">
                    <w:pPr>
                      <w:rPr>
                        <w:rFonts w:ascii="Times New Roman" w:hAnsi="Times New Roman" w:cs="Times New Roman"/>
                      </w:rPr>
                    </w:pPr>
                  </w:p>
                  <w:p w14:paraId="294E4271" w14:textId="77777777" w:rsidR="00070552" w:rsidRPr="00AD13E4" w:rsidRDefault="00070552" w:rsidP="00070552">
                    <w:pPr>
                      <w:rPr>
                        <w:rFonts w:ascii="Times New Roman" w:hAnsi="Times New Roman" w:cs="Times New Roman"/>
                      </w:rPr>
                    </w:pPr>
                    <w:r w:rsidRPr="00AD13E4">
                      <w:rPr>
                        <w:rFonts w:ascii="Times New Roman" w:hAnsi="Times New Roman" w:cs="Times New Roman"/>
                      </w:rPr>
                      <w:t>Kristine Tanzillo, Dux Public Relations</w:t>
                    </w:r>
                  </w:p>
                  <w:p w14:paraId="3A57B5B4" w14:textId="77777777" w:rsidR="00070552" w:rsidRPr="00AD13E4" w:rsidRDefault="00070552" w:rsidP="00070552">
                    <w:pPr>
                      <w:rPr>
                        <w:rFonts w:ascii="Times New Roman" w:hAnsi="Times New Roman" w:cs="Times New Roman"/>
                      </w:rPr>
                    </w:pPr>
                    <w:r>
                      <w:rPr>
                        <w:rFonts w:ascii="Times New Roman" w:hAnsi="Times New Roman" w:cs="Times New Roman"/>
                      </w:rPr>
                      <w:t>903-865-</w:t>
                    </w:r>
                    <w:r w:rsidRPr="00AD13E4">
                      <w:rPr>
                        <w:rFonts w:ascii="Times New Roman" w:hAnsi="Times New Roman" w:cs="Times New Roman"/>
                      </w:rPr>
                      <w:t>1078</w:t>
                    </w:r>
                  </w:p>
                  <w:p w14:paraId="51E28D43" w14:textId="77777777" w:rsidR="00070552" w:rsidRPr="00AD13E4" w:rsidRDefault="00A02A40" w:rsidP="00070552">
                    <w:pPr>
                      <w:rPr>
                        <w:rFonts w:ascii="Times New Roman" w:hAnsi="Times New Roman" w:cs="Times New Roman"/>
                      </w:rPr>
                    </w:pPr>
                    <w:hyperlink r:id="rId4" w:history="1">
                      <w:r w:rsidR="00070552" w:rsidRPr="00AD13E4">
                        <w:rPr>
                          <w:rStyle w:val="Hyperlink"/>
                          <w:rFonts w:ascii="Times New Roman" w:hAnsi="Times New Roman" w:cs="Times New Roman"/>
                        </w:rPr>
                        <w:t>kristine@duxpr.com</w:t>
                      </w:r>
                    </w:hyperlink>
                  </w:p>
                  <w:p w14:paraId="4AAB5CD2" w14:textId="77777777" w:rsidR="005C4AB9" w:rsidRPr="00AD13E4" w:rsidRDefault="005C4AB9" w:rsidP="005C4AB9">
                    <w:pPr>
                      <w:rPr>
                        <w:rFonts w:ascii="Times New Roman" w:hAnsi="Times New Roman" w:cs="Times New Roman"/>
                      </w:rPr>
                    </w:pPr>
                  </w:p>
                  <w:p w14:paraId="2B14C8C5" w14:textId="77777777" w:rsidR="005C4AB9" w:rsidRDefault="005C4AB9" w:rsidP="005C4AB9"/>
                </w:txbxContent>
              </v:textbox>
            </v:shape>
          </w:pict>
        </mc:Fallback>
      </mc:AlternateContent>
    </w:r>
    <w:r>
      <w:rPr>
        <w:noProof/>
        <w:lang w:val="en-US" w:eastAsia="en-US"/>
      </w:rPr>
      <w:drawing>
        <wp:inline distT="0" distB="0" distL="0" distR="0" wp14:anchorId="1F0BC587" wp14:editId="21A591CE">
          <wp:extent cx="1708150" cy="1000760"/>
          <wp:effectExtent l="0" t="0" r="6350" b="8890"/>
          <wp:docPr id="2" name="Picture 2" descr="2012_logo_blue_cropped_Jan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2_logo_blue_cropped_Jan 20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8150" cy="1000760"/>
                  </a:xfrm>
                  <a:prstGeom prst="rect">
                    <a:avLst/>
                  </a:prstGeom>
                  <a:noFill/>
                  <a:ln>
                    <a:noFill/>
                  </a:ln>
                </pic:spPr>
              </pic:pic>
            </a:graphicData>
          </a:graphic>
        </wp:inline>
      </w:drawing>
    </w:r>
  </w:p>
  <w:p w14:paraId="012EA6C4" w14:textId="77777777" w:rsidR="006B2B0E" w:rsidRDefault="006B2B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81_"/>
      </v:shape>
    </w:pict>
  </w:numPicBullet>
  <w:abstractNum w:abstractNumId="0" w15:restartNumberingAfterBreak="0">
    <w:nsid w:val="03017907"/>
    <w:multiLevelType w:val="multilevel"/>
    <w:tmpl w:val="B4E2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BC6F3E"/>
    <w:multiLevelType w:val="hybridMultilevel"/>
    <w:tmpl w:val="C9F8D776"/>
    <w:lvl w:ilvl="0" w:tplc="F4841256">
      <w:start w:val="1060"/>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5D4E43"/>
    <w:multiLevelType w:val="hybridMultilevel"/>
    <w:tmpl w:val="6116DEB8"/>
    <w:lvl w:ilvl="0" w:tplc="DAF6C082">
      <w:start w:val="1"/>
      <w:numFmt w:val="bullet"/>
      <w:lvlText w:val="•"/>
      <w:lvlJc w:val="left"/>
      <w:pPr>
        <w:tabs>
          <w:tab w:val="num" w:pos="720"/>
        </w:tabs>
        <w:ind w:left="720" w:hanging="360"/>
      </w:pPr>
      <w:rPr>
        <w:rFonts w:ascii="Arial" w:hAnsi="Arial" w:hint="default"/>
      </w:rPr>
    </w:lvl>
    <w:lvl w:ilvl="1" w:tplc="C6622062" w:tentative="1">
      <w:start w:val="1"/>
      <w:numFmt w:val="bullet"/>
      <w:lvlText w:val="•"/>
      <w:lvlJc w:val="left"/>
      <w:pPr>
        <w:tabs>
          <w:tab w:val="num" w:pos="1440"/>
        </w:tabs>
        <w:ind w:left="1440" w:hanging="360"/>
      </w:pPr>
      <w:rPr>
        <w:rFonts w:ascii="Arial" w:hAnsi="Arial" w:hint="default"/>
      </w:rPr>
    </w:lvl>
    <w:lvl w:ilvl="2" w:tplc="AA4823C2" w:tentative="1">
      <w:start w:val="1"/>
      <w:numFmt w:val="bullet"/>
      <w:lvlText w:val="•"/>
      <w:lvlJc w:val="left"/>
      <w:pPr>
        <w:tabs>
          <w:tab w:val="num" w:pos="2160"/>
        </w:tabs>
        <w:ind w:left="2160" w:hanging="360"/>
      </w:pPr>
      <w:rPr>
        <w:rFonts w:ascii="Arial" w:hAnsi="Arial" w:hint="default"/>
      </w:rPr>
    </w:lvl>
    <w:lvl w:ilvl="3" w:tplc="2A7EAE54" w:tentative="1">
      <w:start w:val="1"/>
      <w:numFmt w:val="bullet"/>
      <w:lvlText w:val="•"/>
      <w:lvlJc w:val="left"/>
      <w:pPr>
        <w:tabs>
          <w:tab w:val="num" w:pos="2880"/>
        </w:tabs>
        <w:ind w:left="2880" w:hanging="360"/>
      </w:pPr>
      <w:rPr>
        <w:rFonts w:ascii="Arial" w:hAnsi="Arial" w:hint="default"/>
      </w:rPr>
    </w:lvl>
    <w:lvl w:ilvl="4" w:tplc="41943F2A" w:tentative="1">
      <w:start w:val="1"/>
      <w:numFmt w:val="bullet"/>
      <w:lvlText w:val="•"/>
      <w:lvlJc w:val="left"/>
      <w:pPr>
        <w:tabs>
          <w:tab w:val="num" w:pos="3600"/>
        </w:tabs>
        <w:ind w:left="3600" w:hanging="360"/>
      </w:pPr>
      <w:rPr>
        <w:rFonts w:ascii="Arial" w:hAnsi="Arial" w:hint="default"/>
      </w:rPr>
    </w:lvl>
    <w:lvl w:ilvl="5" w:tplc="BDBE9C6E" w:tentative="1">
      <w:start w:val="1"/>
      <w:numFmt w:val="bullet"/>
      <w:lvlText w:val="•"/>
      <w:lvlJc w:val="left"/>
      <w:pPr>
        <w:tabs>
          <w:tab w:val="num" w:pos="4320"/>
        </w:tabs>
        <w:ind w:left="4320" w:hanging="360"/>
      </w:pPr>
      <w:rPr>
        <w:rFonts w:ascii="Arial" w:hAnsi="Arial" w:hint="default"/>
      </w:rPr>
    </w:lvl>
    <w:lvl w:ilvl="6" w:tplc="CE5C158C" w:tentative="1">
      <w:start w:val="1"/>
      <w:numFmt w:val="bullet"/>
      <w:lvlText w:val="•"/>
      <w:lvlJc w:val="left"/>
      <w:pPr>
        <w:tabs>
          <w:tab w:val="num" w:pos="5040"/>
        </w:tabs>
        <w:ind w:left="5040" w:hanging="360"/>
      </w:pPr>
      <w:rPr>
        <w:rFonts w:ascii="Arial" w:hAnsi="Arial" w:hint="default"/>
      </w:rPr>
    </w:lvl>
    <w:lvl w:ilvl="7" w:tplc="1C10DE1A" w:tentative="1">
      <w:start w:val="1"/>
      <w:numFmt w:val="bullet"/>
      <w:lvlText w:val="•"/>
      <w:lvlJc w:val="left"/>
      <w:pPr>
        <w:tabs>
          <w:tab w:val="num" w:pos="5760"/>
        </w:tabs>
        <w:ind w:left="5760" w:hanging="360"/>
      </w:pPr>
      <w:rPr>
        <w:rFonts w:ascii="Arial" w:hAnsi="Arial" w:hint="default"/>
      </w:rPr>
    </w:lvl>
    <w:lvl w:ilvl="8" w:tplc="11F421F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3BD38EB"/>
    <w:multiLevelType w:val="multilevel"/>
    <w:tmpl w:val="0422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680908"/>
    <w:multiLevelType w:val="hybridMultilevel"/>
    <w:tmpl w:val="B56EEA0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CF57368"/>
    <w:multiLevelType w:val="hybridMultilevel"/>
    <w:tmpl w:val="C9C29E50"/>
    <w:lvl w:ilvl="0" w:tplc="244609C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35040A5"/>
    <w:multiLevelType w:val="hybridMultilevel"/>
    <w:tmpl w:val="9A66E16A"/>
    <w:lvl w:ilvl="0" w:tplc="3E6412E0">
      <w:start w:val="1"/>
      <w:numFmt w:val="bullet"/>
      <w:lvlText w:val="•"/>
      <w:lvlJc w:val="left"/>
      <w:pPr>
        <w:tabs>
          <w:tab w:val="num" w:pos="720"/>
        </w:tabs>
        <w:ind w:left="720" w:hanging="360"/>
      </w:pPr>
      <w:rPr>
        <w:rFonts w:ascii="Arial" w:hAnsi="Arial" w:hint="default"/>
      </w:rPr>
    </w:lvl>
    <w:lvl w:ilvl="1" w:tplc="96D4AF32" w:tentative="1">
      <w:start w:val="1"/>
      <w:numFmt w:val="bullet"/>
      <w:lvlText w:val="•"/>
      <w:lvlJc w:val="left"/>
      <w:pPr>
        <w:tabs>
          <w:tab w:val="num" w:pos="1440"/>
        </w:tabs>
        <w:ind w:left="1440" w:hanging="360"/>
      </w:pPr>
      <w:rPr>
        <w:rFonts w:ascii="Arial" w:hAnsi="Arial" w:hint="default"/>
      </w:rPr>
    </w:lvl>
    <w:lvl w:ilvl="2" w:tplc="894EFB08" w:tentative="1">
      <w:start w:val="1"/>
      <w:numFmt w:val="bullet"/>
      <w:lvlText w:val="•"/>
      <w:lvlJc w:val="left"/>
      <w:pPr>
        <w:tabs>
          <w:tab w:val="num" w:pos="2160"/>
        </w:tabs>
        <w:ind w:left="2160" w:hanging="360"/>
      </w:pPr>
      <w:rPr>
        <w:rFonts w:ascii="Arial" w:hAnsi="Arial" w:hint="default"/>
      </w:rPr>
    </w:lvl>
    <w:lvl w:ilvl="3" w:tplc="269CAEC6" w:tentative="1">
      <w:start w:val="1"/>
      <w:numFmt w:val="bullet"/>
      <w:lvlText w:val="•"/>
      <w:lvlJc w:val="left"/>
      <w:pPr>
        <w:tabs>
          <w:tab w:val="num" w:pos="2880"/>
        </w:tabs>
        <w:ind w:left="2880" w:hanging="360"/>
      </w:pPr>
      <w:rPr>
        <w:rFonts w:ascii="Arial" w:hAnsi="Arial" w:hint="default"/>
      </w:rPr>
    </w:lvl>
    <w:lvl w:ilvl="4" w:tplc="634E1A30" w:tentative="1">
      <w:start w:val="1"/>
      <w:numFmt w:val="bullet"/>
      <w:lvlText w:val="•"/>
      <w:lvlJc w:val="left"/>
      <w:pPr>
        <w:tabs>
          <w:tab w:val="num" w:pos="3600"/>
        </w:tabs>
        <w:ind w:left="3600" w:hanging="360"/>
      </w:pPr>
      <w:rPr>
        <w:rFonts w:ascii="Arial" w:hAnsi="Arial" w:hint="default"/>
      </w:rPr>
    </w:lvl>
    <w:lvl w:ilvl="5" w:tplc="F8B4D346" w:tentative="1">
      <w:start w:val="1"/>
      <w:numFmt w:val="bullet"/>
      <w:lvlText w:val="•"/>
      <w:lvlJc w:val="left"/>
      <w:pPr>
        <w:tabs>
          <w:tab w:val="num" w:pos="4320"/>
        </w:tabs>
        <w:ind w:left="4320" w:hanging="360"/>
      </w:pPr>
      <w:rPr>
        <w:rFonts w:ascii="Arial" w:hAnsi="Arial" w:hint="default"/>
      </w:rPr>
    </w:lvl>
    <w:lvl w:ilvl="6" w:tplc="C1F2D2BC" w:tentative="1">
      <w:start w:val="1"/>
      <w:numFmt w:val="bullet"/>
      <w:lvlText w:val="•"/>
      <w:lvlJc w:val="left"/>
      <w:pPr>
        <w:tabs>
          <w:tab w:val="num" w:pos="5040"/>
        </w:tabs>
        <w:ind w:left="5040" w:hanging="360"/>
      </w:pPr>
      <w:rPr>
        <w:rFonts w:ascii="Arial" w:hAnsi="Arial" w:hint="default"/>
      </w:rPr>
    </w:lvl>
    <w:lvl w:ilvl="7" w:tplc="34228CAE" w:tentative="1">
      <w:start w:val="1"/>
      <w:numFmt w:val="bullet"/>
      <w:lvlText w:val="•"/>
      <w:lvlJc w:val="left"/>
      <w:pPr>
        <w:tabs>
          <w:tab w:val="num" w:pos="5760"/>
        </w:tabs>
        <w:ind w:left="5760" w:hanging="360"/>
      </w:pPr>
      <w:rPr>
        <w:rFonts w:ascii="Arial" w:hAnsi="Arial" w:hint="default"/>
      </w:rPr>
    </w:lvl>
    <w:lvl w:ilvl="8" w:tplc="8FFC183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D965594"/>
    <w:multiLevelType w:val="hybridMultilevel"/>
    <w:tmpl w:val="CB04D5FA"/>
    <w:lvl w:ilvl="0" w:tplc="60229530">
      <w:start w:val="1"/>
      <w:numFmt w:val="bullet"/>
      <w:lvlText w:val="•"/>
      <w:lvlJc w:val="left"/>
      <w:pPr>
        <w:tabs>
          <w:tab w:val="num" w:pos="450"/>
        </w:tabs>
        <w:ind w:left="450" w:hanging="360"/>
      </w:pPr>
      <w:rPr>
        <w:rFonts w:ascii="Arial" w:hAnsi="Arial" w:hint="default"/>
      </w:rPr>
    </w:lvl>
    <w:lvl w:ilvl="1" w:tplc="F430867E" w:tentative="1">
      <w:start w:val="1"/>
      <w:numFmt w:val="bullet"/>
      <w:lvlText w:val="•"/>
      <w:lvlJc w:val="left"/>
      <w:pPr>
        <w:tabs>
          <w:tab w:val="num" w:pos="1170"/>
        </w:tabs>
        <w:ind w:left="1170" w:hanging="360"/>
      </w:pPr>
      <w:rPr>
        <w:rFonts w:ascii="Arial" w:hAnsi="Arial" w:hint="default"/>
      </w:rPr>
    </w:lvl>
    <w:lvl w:ilvl="2" w:tplc="246CB48E" w:tentative="1">
      <w:start w:val="1"/>
      <w:numFmt w:val="bullet"/>
      <w:lvlText w:val="•"/>
      <w:lvlJc w:val="left"/>
      <w:pPr>
        <w:tabs>
          <w:tab w:val="num" w:pos="1890"/>
        </w:tabs>
        <w:ind w:left="1890" w:hanging="360"/>
      </w:pPr>
      <w:rPr>
        <w:rFonts w:ascii="Arial" w:hAnsi="Arial" w:hint="default"/>
      </w:rPr>
    </w:lvl>
    <w:lvl w:ilvl="3" w:tplc="1DF0D036" w:tentative="1">
      <w:start w:val="1"/>
      <w:numFmt w:val="bullet"/>
      <w:lvlText w:val="•"/>
      <w:lvlJc w:val="left"/>
      <w:pPr>
        <w:tabs>
          <w:tab w:val="num" w:pos="2610"/>
        </w:tabs>
        <w:ind w:left="2610" w:hanging="360"/>
      </w:pPr>
      <w:rPr>
        <w:rFonts w:ascii="Arial" w:hAnsi="Arial" w:hint="default"/>
      </w:rPr>
    </w:lvl>
    <w:lvl w:ilvl="4" w:tplc="4968ADEC" w:tentative="1">
      <w:start w:val="1"/>
      <w:numFmt w:val="bullet"/>
      <w:lvlText w:val="•"/>
      <w:lvlJc w:val="left"/>
      <w:pPr>
        <w:tabs>
          <w:tab w:val="num" w:pos="3330"/>
        </w:tabs>
        <w:ind w:left="3330" w:hanging="360"/>
      </w:pPr>
      <w:rPr>
        <w:rFonts w:ascii="Arial" w:hAnsi="Arial" w:hint="default"/>
      </w:rPr>
    </w:lvl>
    <w:lvl w:ilvl="5" w:tplc="D8442724" w:tentative="1">
      <w:start w:val="1"/>
      <w:numFmt w:val="bullet"/>
      <w:lvlText w:val="•"/>
      <w:lvlJc w:val="left"/>
      <w:pPr>
        <w:tabs>
          <w:tab w:val="num" w:pos="4050"/>
        </w:tabs>
        <w:ind w:left="4050" w:hanging="360"/>
      </w:pPr>
      <w:rPr>
        <w:rFonts w:ascii="Arial" w:hAnsi="Arial" w:hint="default"/>
      </w:rPr>
    </w:lvl>
    <w:lvl w:ilvl="6" w:tplc="F23684F2" w:tentative="1">
      <w:start w:val="1"/>
      <w:numFmt w:val="bullet"/>
      <w:lvlText w:val="•"/>
      <w:lvlJc w:val="left"/>
      <w:pPr>
        <w:tabs>
          <w:tab w:val="num" w:pos="4770"/>
        </w:tabs>
        <w:ind w:left="4770" w:hanging="360"/>
      </w:pPr>
      <w:rPr>
        <w:rFonts w:ascii="Arial" w:hAnsi="Arial" w:hint="default"/>
      </w:rPr>
    </w:lvl>
    <w:lvl w:ilvl="7" w:tplc="A11AEEE2" w:tentative="1">
      <w:start w:val="1"/>
      <w:numFmt w:val="bullet"/>
      <w:lvlText w:val="•"/>
      <w:lvlJc w:val="left"/>
      <w:pPr>
        <w:tabs>
          <w:tab w:val="num" w:pos="5490"/>
        </w:tabs>
        <w:ind w:left="5490" w:hanging="360"/>
      </w:pPr>
      <w:rPr>
        <w:rFonts w:ascii="Arial" w:hAnsi="Arial" w:hint="default"/>
      </w:rPr>
    </w:lvl>
    <w:lvl w:ilvl="8" w:tplc="F49E16F0" w:tentative="1">
      <w:start w:val="1"/>
      <w:numFmt w:val="bullet"/>
      <w:lvlText w:val="•"/>
      <w:lvlJc w:val="left"/>
      <w:pPr>
        <w:tabs>
          <w:tab w:val="num" w:pos="6210"/>
        </w:tabs>
        <w:ind w:left="6210" w:hanging="360"/>
      </w:pPr>
      <w:rPr>
        <w:rFonts w:ascii="Arial" w:hAnsi="Arial" w:hint="default"/>
      </w:rPr>
    </w:lvl>
  </w:abstractNum>
  <w:abstractNum w:abstractNumId="8" w15:restartNumberingAfterBreak="0">
    <w:nsid w:val="6F2D6493"/>
    <w:multiLevelType w:val="hybridMultilevel"/>
    <w:tmpl w:val="CF243708"/>
    <w:lvl w:ilvl="0" w:tplc="244609C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7"/>
  </w:num>
  <w:num w:numId="4">
    <w:abstractNumId w:val="2"/>
  </w:num>
  <w:num w:numId="5">
    <w:abstractNumId w:val="6"/>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5DE"/>
    <w:rsid w:val="000013FF"/>
    <w:rsid w:val="0000734A"/>
    <w:rsid w:val="00013EF0"/>
    <w:rsid w:val="00036751"/>
    <w:rsid w:val="00041783"/>
    <w:rsid w:val="00043B74"/>
    <w:rsid w:val="00054BC9"/>
    <w:rsid w:val="00063395"/>
    <w:rsid w:val="000647E4"/>
    <w:rsid w:val="0006787E"/>
    <w:rsid w:val="00070552"/>
    <w:rsid w:val="000728C4"/>
    <w:rsid w:val="00075883"/>
    <w:rsid w:val="000770A9"/>
    <w:rsid w:val="000806BA"/>
    <w:rsid w:val="00087A1A"/>
    <w:rsid w:val="00093BA6"/>
    <w:rsid w:val="00097B89"/>
    <w:rsid w:val="000A1DE4"/>
    <w:rsid w:val="000A3068"/>
    <w:rsid w:val="000A6891"/>
    <w:rsid w:val="000B2C9D"/>
    <w:rsid w:val="000B7498"/>
    <w:rsid w:val="000D306A"/>
    <w:rsid w:val="000E070D"/>
    <w:rsid w:val="000E49F5"/>
    <w:rsid w:val="000E6BE9"/>
    <w:rsid w:val="000F5F09"/>
    <w:rsid w:val="001037D9"/>
    <w:rsid w:val="001142A4"/>
    <w:rsid w:val="00115BD9"/>
    <w:rsid w:val="001306A2"/>
    <w:rsid w:val="00131B38"/>
    <w:rsid w:val="00134AF0"/>
    <w:rsid w:val="00161C9C"/>
    <w:rsid w:val="0017122D"/>
    <w:rsid w:val="00173F29"/>
    <w:rsid w:val="0018195D"/>
    <w:rsid w:val="001907FE"/>
    <w:rsid w:val="00195819"/>
    <w:rsid w:val="001A015E"/>
    <w:rsid w:val="001A3DB2"/>
    <w:rsid w:val="001A7F52"/>
    <w:rsid w:val="001B0F81"/>
    <w:rsid w:val="001B5F8A"/>
    <w:rsid w:val="001C47AF"/>
    <w:rsid w:val="001D24E3"/>
    <w:rsid w:val="001D3C9C"/>
    <w:rsid w:val="001E6764"/>
    <w:rsid w:val="002174A4"/>
    <w:rsid w:val="00220679"/>
    <w:rsid w:val="00221A3A"/>
    <w:rsid w:val="00223685"/>
    <w:rsid w:val="002341D2"/>
    <w:rsid w:val="00237D46"/>
    <w:rsid w:val="002574CC"/>
    <w:rsid w:val="002650A3"/>
    <w:rsid w:val="00286316"/>
    <w:rsid w:val="002901B9"/>
    <w:rsid w:val="002C00A6"/>
    <w:rsid w:val="002D6D58"/>
    <w:rsid w:val="002E05C4"/>
    <w:rsid w:val="002E2170"/>
    <w:rsid w:val="002F2E3C"/>
    <w:rsid w:val="002F3FA7"/>
    <w:rsid w:val="002F6F9D"/>
    <w:rsid w:val="00301487"/>
    <w:rsid w:val="00304CB4"/>
    <w:rsid w:val="003050FF"/>
    <w:rsid w:val="00311513"/>
    <w:rsid w:val="0032044A"/>
    <w:rsid w:val="00327FB0"/>
    <w:rsid w:val="00330DB6"/>
    <w:rsid w:val="003407B1"/>
    <w:rsid w:val="00342EB3"/>
    <w:rsid w:val="00350BD6"/>
    <w:rsid w:val="00354BE9"/>
    <w:rsid w:val="00380475"/>
    <w:rsid w:val="003934BB"/>
    <w:rsid w:val="003A4EB0"/>
    <w:rsid w:val="003A659C"/>
    <w:rsid w:val="003A7914"/>
    <w:rsid w:val="003C48E5"/>
    <w:rsid w:val="003D19B1"/>
    <w:rsid w:val="003D27FC"/>
    <w:rsid w:val="003D6925"/>
    <w:rsid w:val="003E3FC5"/>
    <w:rsid w:val="003E56A3"/>
    <w:rsid w:val="003E76C2"/>
    <w:rsid w:val="003F1272"/>
    <w:rsid w:val="003F17D4"/>
    <w:rsid w:val="003F5D14"/>
    <w:rsid w:val="003F742C"/>
    <w:rsid w:val="00403DAE"/>
    <w:rsid w:val="0041096D"/>
    <w:rsid w:val="00427E52"/>
    <w:rsid w:val="00445C69"/>
    <w:rsid w:val="0045485E"/>
    <w:rsid w:val="00466860"/>
    <w:rsid w:val="00466954"/>
    <w:rsid w:val="00473627"/>
    <w:rsid w:val="0047368B"/>
    <w:rsid w:val="004757B5"/>
    <w:rsid w:val="0048100C"/>
    <w:rsid w:val="00481FDD"/>
    <w:rsid w:val="00484B91"/>
    <w:rsid w:val="004851C8"/>
    <w:rsid w:val="004A14EA"/>
    <w:rsid w:val="004B6437"/>
    <w:rsid w:val="004E1CD2"/>
    <w:rsid w:val="004F3F11"/>
    <w:rsid w:val="004F7BB2"/>
    <w:rsid w:val="00502A3D"/>
    <w:rsid w:val="00513373"/>
    <w:rsid w:val="0051367F"/>
    <w:rsid w:val="00514920"/>
    <w:rsid w:val="00514DC1"/>
    <w:rsid w:val="00521AA6"/>
    <w:rsid w:val="0053581C"/>
    <w:rsid w:val="00541AD2"/>
    <w:rsid w:val="00543C9C"/>
    <w:rsid w:val="0054630C"/>
    <w:rsid w:val="0054664E"/>
    <w:rsid w:val="005521BF"/>
    <w:rsid w:val="00555AEC"/>
    <w:rsid w:val="00556A43"/>
    <w:rsid w:val="00567DBC"/>
    <w:rsid w:val="005A0624"/>
    <w:rsid w:val="005A46A8"/>
    <w:rsid w:val="005A55F4"/>
    <w:rsid w:val="005B49F4"/>
    <w:rsid w:val="005B516B"/>
    <w:rsid w:val="005C4AB9"/>
    <w:rsid w:val="005C65D1"/>
    <w:rsid w:val="005E0514"/>
    <w:rsid w:val="005E6519"/>
    <w:rsid w:val="005E7C19"/>
    <w:rsid w:val="005F5804"/>
    <w:rsid w:val="00616BC0"/>
    <w:rsid w:val="00631E92"/>
    <w:rsid w:val="00635727"/>
    <w:rsid w:val="00641F9F"/>
    <w:rsid w:val="006553B7"/>
    <w:rsid w:val="00665AD5"/>
    <w:rsid w:val="006759F9"/>
    <w:rsid w:val="00676C64"/>
    <w:rsid w:val="00680DF0"/>
    <w:rsid w:val="00681DC1"/>
    <w:rsid w:val="00686265"/>
    <w:rsid w:val="00686659"/>
    <w:rsid w:val="006878BF"/>
    <w:rsid w:val="0069153A"/>
    <w:rsid w:val="0069664A"/>
    <w:rsid w:val="006A033D"/>
    <w:rsid w:val="006A09EC"/>
    <w:rsid w:val="006B2B0E"/>
    <w:rsid w:val="006B5630"/>
    <w:rsid w:val="006B6815"/>
    <w:rsid w:val="006B6CF2"/>
    <w:rsid w:val="006D4E24"/>
    <w:rsid w:val="006F65B5"/>
    <w:rsid w:val="00702573"/>
    <w:rsid w:val="007047B9"/>
    <w:rsid w:val="00710C08"/>
    <w:rsid w:val="00720A45"/>
    <w:rsid w:val="0072107A"/>
    <w:rsid w:val="00737110"/>
    <w:rsid w:val="00742E87"/>
    <w:rsid w:val="00745425"/>
    <w:rsid w:val="0074793E"/>
    <w:rsid w:val="007578DD"/>
    <w:rsid w:val="00763435"/>
    <w:rsid w:val="00772D67"/>
    <w:rsid w:val="00773722"/>
    <w:rsid w:val="00774EA9"/>
    <w:rsid w:val="007903E5"/>
    <w:rsid w:val="007A190E"/>
    <w:rsid w:val="007A6546"/>
    <w:rsid w:val="007B2CD9"/>
    <w:rsid w:val="007B4FA8"/>
    <w:rsid w:val="007C483C"/>
    <w:rsid w:val="007D5ED2"/>
    <w:rsid w:val="007D6AFB"/>
    <w:rsid w:val="007E135F"/>
    <w:rsid w:val="007E6662"/>
    <w:rsid w:val="007F2D29"/>
    <w:rsid w:val="00803BC2"/>
    <w:rsid w:val="00821EC9"/>
    <w:rsid w:val="0082345F"/>
    <w:rsid w:val="0082424B"/>
    <w:rsid w:val="008258EA"/>
    <w:rsid w:val="00835F8D"/>
    <w:rsid w:val="0084006C"/>
    <w:rsid w:val="0086418F"/>
    <w:rsid w:val="008728AC"/>
    <w:rsid w:val="008746C6"/>
    <w:rsid w:val="008A1A0D"/>
    <w:rsid w:val="008A455C"/>
    <w:rsid w:val="008A796F"/>
    <w:rsid w:val="008B63A0"/>
    <w:rsid w:val="008C3290"/>
    <w:rsid w:val="008F122B"/>
    <w:rsid w:val="008F1676"/>
    <w:rsid w:val="00907C88"/>
    <w:rsid w:val="00910C4E"/>
    <w:rsid w:val="00912497"/>
    <w:rsid w:val="009158C8"/>
    <w:rsid w:val="009369CF"/>
    <w:rsid w:val="00941EB7"/>
    <w:rsid w:val="00956096"/>
    <w:rsid w:val="00956C30"/>
    <w:rsid w:val="009616A8"/>
    <w:rsid w:val="00963C6C"/>
    <w:rsid w:val="00963D48"/>
    <w:rsid w:val="00984A3A"/>
    <w:rsid w:val="00984D9C"/>
    <w:rsid w:val="00986879"/>
    <w:rsid w:val="009A6569"/>
    <w:rsid w:val="009A7BF7"/>
    <w:rsid w:val="009B351A"/>
    <w:rsid w:val="009B5F73"/>
    <w:rsid w:val="009C313F"/>
    <w:rsid w:val="009C3CAB"/>
    <w:rsid w:val="009C41FB"/>
    <w:rsid w:val="009E3234"/>
    <w:rsid w:val="009F11FB"/>
    <w:rsid w:val="009F7064"/>
    <w:rsid w:val="00A01B36"/>
    <w:rsid w:val="00A02A40"/>
    <w:rsid w:val="00A03F2E"/>
    <w:rsid w:val="00A043CF"/>
    <w:rsid w:val="00A139BF"/>
    <w:rsid w:val="00A20B8A"/>
    <w:rsid w:val="00A2369A"/>
    <w:rsid w:val="00A265DE"/>
    <w:rsid w:val="00A339E6"/>
    <w:rsid w:val="00A43BCD"/>
    <w:rsid w:val="00A47B97"/>
    <w:rsid w:val="00A71331"/>
    <w:rsid w:val="00A87A36"/>
    <w:rsid w:val="00A87CA2"/>
    <w:rsid w:val="00A915B0"/>
    <w:rsid w:val="00AB3721"/>
    <w:rsid w:val="00AC42C6"/>
    <w:rsid w:val="00AE40F3"/>
    <w:rsid w:val="00AE53B1"/>
    <w:rsid w:val="00AE7DD1"/>
    <w:rsid w:val="00AF4EFC"/>
    <w:rsid w:val="00B15F8E"/>
    <w:rsid w:val="00B219BA"/>
    <w:rsid w:val="00B21FFE"/>
    <w:rsid w:val="00B230DE"/>
    <w:rsid w:val="00B26933"/>
    <w:rsid w:val="00B277A5"/>
    <w:rsid w:val="00B335D9"/>
    <w:rsid w:val="00B35580"/>
    <w:rsid w:val="00B36345"/>
    <w:rsid w:val="00B37DE8"/>
    <w:rsid w:val="00B42310"/>
    <w:rsid w:val="00B55F69"/>
    <w:rsid w:val="00B61631"/>
    <w:rsid w:val="00B67FA7"/>
    <w:rsid w:val="00B7249F"/>
    <w:rsid w:val="00B84652"/>
    <w:rsid w:val="00BA0321"/>
    <w:rsid w:val="00BA4875"/>
    <w:rsid w:val="00BB29A3"/>
    <w:rsid w:val="00BB29FF"/>
    <w:rsid w:val="00BD0808"/>
    <w:rsid w:val="00BD336E"/>
    <w:rsid w:val="00BD56C5"/>
    <w:rsid w:val="00BD6908"/>
    <w:rsid w:val="00BE0E24"/>
    <w:rsid w:val="00BE32BE"/>
    <w:rsid w:val="00BF198F"/>
    <w:rsid w:val="00C06444"/>
    <w:rsid w:val="00C0696B"/>
    <w:rsid w:val="00C14E43"/>
    <w:rsid w:val="00C16F12"/>
    <w:rsid w:val="00C27863"/>
    <w:rsid w:val="00C3277D"/>
    <w:rsid w:val="00C33672"/>
    <w:rsid w:val="00C36C68"/>
    <w:rsid w:val="00C426B2"/>
    <w:rsid w:val="00C511BB"/>
    <w:rsid w:val="00C5380E"/>
    <w:rsid w:val="00C541F7"/>
    <w:rsid w:val="00C611D9"/>
    <w:rsid w:val="00C66DDC"/>
    <w:rsid w:val="00C67A77"/>
    <w:rsid w:val="00C764DB"/>
    <w:rsid w:val="00CA735B"/>
    <w:rsid w:val="00CB5329"/>
    <w:rsid w:val="00CC0F7C"/>
    <w:rsid w:val="00CC5E18"/>
    <w:rsid w:val="00CC6063"/>
    <w:rsid w:val="00CC68E3"/>
    <w:rsid w:val="00CC7F1D"/>
    <w:rsid w:val="00CD2E9D"/>
    <w:rsid w:val="00CF29EC"/>
    <w:rsid w:val="00CF597B"/>
    <w:rsid w:val="00D05935"/>
    <w:rsid w:val="00D12A3B"/>
    <w:rsid w:val="00D25B9F"/>
    <w:rsid w:val="00D27115"/>
    <w:rsid w:val="00D3103B"/>
    <w:rsid w:val="00D44D12"/>
    <w:rsid w:val="00D605C3"/>
    <w:rsid w:val="00D60A44"/>
    <w:rsid w:val="00D62A1B"/>
    <w:rsid w:val="00D70222"/>
    <w:rsid w:val="00D721DD"/>
    <w:rsid w:val="00D93547"/>
    <w:rsid w:val="00D97320"/>
    <w:rsid w:val="00DA5717"/>
    <w:rsid w:val="00DC0E44"/>
    <w:rsid w:val="00DC4AE2"/>
    <w:rsid w:val="00DF1D06"/>
    <w:rsid w:val="00E03A48"/>
    <w:rsid w:val="00E0621C"/>
    <w:rsid w:val="00E1083A"/>
    <w:rsid w:val="00E20F79"/>
    <w:rsid w:val="00E3161B"/>
    <w:rsid w:val="00E3166C"/>
    <w:rsid w:val="00E32CD3"/>
    <w:rsid w:val="00E42207"/>
    <w:rsid w:val="00E4344F"/>
    <w:rsid w:val="00E519E8"/>
    <w:rsid w:val="00E67AE2"/>
    <w:rsid w:val="00E766FC"/>
    <w:rsid w:val="00E826C1"/>
    <w:rsid w:val="00E833C8"/>
    <w:rsid w:val="00EA1B99"/>
    <w:rsid w:val="00EC195F"/>
    <w:rsid w:val="00ED4CE0"/>
    <w:rsid w:val="00EE15C4"/>
    <w:rsid w:val="00EE522A"/>
    <w:rsid w:val="00EE646F"/>
    <w:rsid w:val="00F02703"/>
    <w:rsid w:val="00F0308A"/>
    <w:rsid w:val="00F12911"/>
    <w:rsid w:val="00F20B53"/>
    <w:rsid w:val="00F2543C"/>
    <w:rsid w:val="00F25530"/>
    <w:rsid w:val="00F30D93"/>
    <w:rsid w:val="00F3208D"/>
    <w:rsid w:val="00F43629"/>
    <w:rsid w:val="00F52093"/>
    <w:rsid w:val="00F52E2E"/>
    <w:rsid w:val="00F72EF0"/>
    <w:rsid w:val="00F80BE3"/>
    <w:rsid w:val="00FA0241"/>
    <w:rsid w:val="00FA07A3"/>
    <w:rsid w:val="00FA2AE9"/>
    <w:rsid w:val="00FA6AD4"/>
    <w:rsid w:val="00FA75F2"/>
    <w:rsid w:val="00FB7074"/>
    <w:rsid w:val="00FC17CA"/>
    <w:rsid w:val="00FC744B"/>
    <w:rsid w:val="00FD0B2F"/>
    <w:rsid w:val="00FE359B"/>
    <w:rsid w:val="00FE4124"/>
    <w:rsid w:val="00FE59A1"/>
    <w:rsid w:val="00FE7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A4509"/>
  <w15:docId w15:val="{E2D8CB67-4F99-471F-B921-4713C6C02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Calibri"/>
      <w:sz w:val="22"/>
      <w:szCs w:val="22"/>
    </w:rPr>
  </w:style>
  <w:style w:type="paragraph" w:styleId="Heading1">
    <w:name w:val="heading 1"/>
    <w:basedOn w:val="Normal"/>
    <w:next w:val="Normal"/>
    <w:qFormat/>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0770A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qFormat/>
    <w:pPr>
      <w:outlineLvl w:val="2"/>
    </w:pPr>
    <w:rPr>
      <w:rFonts w:ascii="Georgia" w:eastAsia="Times New Roman" w:hAnsi="Georgia" w:cs="Times New Roma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rFonts w:ascii="Georgia" w:eastAsia="Times New Roman" w:hAnsi="Georgia" w:cs="Times New Roman"/>
      <w:b/>
      <w:bCs/>
      <w:sz w:val="27"/>
      <w:szCs w:val="27"/>
    </w:rPr>
  </w:style>
  <w:style w:type="character" w:styleId="Hyperlink">
    <w:name w:val="Hyperlink"/>
    <w:uiPriority w:val="99"/>
    <w:unhideWhenUsed/>
    <w:rPr>
      <w:color w:val="0000FF"/>
      <w:u w:val="single"/>
    </w:rPr>
  </w:style>
  <w:style w:type="paragraph" w:styleId="Header">
    <w:name w:val="header"/>
    <w:basedOn w:val="Normal"/>
    <w:unhideWhenUsed/>
    <w:pPr>
      <w:tabs>
        <w:tab w:val="center" w:pos="4680"/>
        <w:tab w:val="right" w:pos="9360"/>
      </w:tabs>
    </w:pPr>
    <w:rPr>
      <w:rFonts w:cs="Times New Roman"/>
      <w:sz w:val="20"/>
      <w:szCs w:val="20"/>
      <w:lang w:val="x-none" w:eastAsia="x-none"/>
    </w:rPr>
  </w:style>
  <w:style w:type="character" w:customStyle="1" w:styleId="HeaderChar">
    <w:name w:val="Header Char"/>
    <w:rPr>
      <w:rFonts w:ascii="Calibri" w:hAnsi="Calibri" w:cs="Calibri"/>
    </w:rPr>
  </w:style>
  <w:style w:type="paragraph" w:styleId="Footer">
    <w:name w:val="footer"/>
    <w:basedOn w:val="Normal"/>
    <w:unhideWhenUsed/>
    <w:pPr>
      <w:tabs>
        <w:tab w:val="center" w:pos="4680"/>
        <w:tab w:val="right" w:pos="9360"/>
      </w:tabs>
    </w:pPr>
    <w:rPr>
      <w:rFonts w:cs="Times New Roman"/>
      <w:sz w:val="20"/>
      <w:szCs w:val="20"/>
      <w:lang w:val="x-none" w:eastAsia="x-none"/>
    </w:rPr>
  </w:style>
  <w:style w:type="character" w:customStyle="1" w:styleId="FooterChar">
    <w:name w:val="Footer Char"/>
    <w:rPr>
      <w:rFonts w:ascii="Calibri" w:hAnsi="Calibri" w:cs="Calibri"/>
    </w:rPr>
  </w:style>
  <w:style w:type="paragraph" w:styleId="BalloonText">
    <w:name w:val="Balloon Text"/>
    <w:basedOn w:val="Normal"/>
    <w:semiHidden/>
    <w:unhideWhenUsed/>
    <w:rPr>
      <w:rFonts w:ascii="Tahoma" w:hAnsi="Tahoma" w:cs="Times New Roman"/>
      <w:sz w:val="16"/>
      <w:szCs w:val="16"/>
      <w:lang w:val="x-none" w:eastAsia="x-none"/>
    </w:rPr>
  </w:style>
  <w:style w:type="character" w:customStyle="1" w:styleId="BalloonTextChar">
    <w:name w:val="Balloon Text Char"/>
    <w:semiHidden/>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uiPriority w:val="99"/>
    <w:semiHidden/>
    <w:unhideWhenUsed/>
    <w:rPr>
      <w:rFonts w:cs="Times New Roman"/>
      <w:sz w:val="20"/>
      <w:szCs w:val="20"/>
      <w:lang w:val="x-none" w:eastAsia="x-none"/>
    </w:rPr>
  </w:style>
  <w:style w:type="character" w:customStyle="1" w:styleId="CommentTextChar">
    <w:name w:val="Comment Text Char"/>
    <w:uiPriority w:val="99"/>
    <w:semiHidden/>
    <w:rPr>
      <w:rFonts w:cs="Calibri"/>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rFonts w:cs="Calibri"/>
      <w:b/>
      <w:bCs/>
    </w:rPr>
  </w:style>
  <w:style w:type="character" w:styleId="Strong">
    <w:name w:val="Strong"/>
    <w:uiPriority w:val="22"/>
    <w:qFormat/>
    <w:rPr>
      <w:b/>
      <w:bCs/>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style>
  <w:style w:type="character" w:customStyle="1" w:styleId="xn-chron">
    <w:name w:val="xn-chron"/>
    <w:basedOn w:val="DefaultParagraphFont"/>
  </w:style>
  <w:style w:type="character" w:customStyle="1" w:styleId="Heading1Char">
    <w:name w:val="Heading 1 Char"/>
    <w:rPr>
      <w:rFonts w:ascii="Cambria" w:eastAsia="Times New Roman" w:hAnsi="Cambria" w:cs="Times New Roman"/>
      <w:b/>
      <w:bCs/>
      <w:kern w:val="32"/>
      <w:sz w:val="32"/>
      <w:szCs w:val="32"/>
    </w:rPr>
  </w:style>
  <w:style w:type="paragraph" w:styleId="BodyText">
    <w:name w:val="Body Text"/>
    <w:basedOn w:val="Normal"/>
    <w:semiHidden/>
    <w:rPr>
      <w:rFonts w:ascii="Times New Roman" w:hAnsi="Times New Roman"/>
      <w:sz w:val="24"/>
      <w:szCs w:val="24"/>
    </w:rPr>
  </w:style>
  <w:style w:type="paragraph" w:styleId="ListParagraph">
    <w:name w:val="List Paragraph"/>
    <w:basedOn w:val="Normal"/>
    <w:uiPriority w:val="34"/>
    <w:qFormat/>
    <w:rsid w:val="002574CC"/>
    <w:pPr>
      <w:ind w:left="720"/>
    </w:pPr>
    <w:rPr>
      <w:rFonts w:cs="Times New Roman"/>
    </w:rPr>
  </w:style>
  <w:style w:type="character" w:styleId="FollowedHyperlink">
    <w:name w:val="FollowedHyperlink"/>
    <w:basedOn w:val="DefaultParagraphFont"/>
    <w:uiPriority w:val="99"/>
    <w:semiHidden/>
    <w:unhideWhenUsed/>
    <w:rsid w:val="00F52E2E"/>
    <w:rPr>
      <w:color w:val="954F72" w:themeColor="followedHyperlink"/>
      <w:u w:val="single"/>
    </w:rPr>
  </w:style>
  <w:style w:type="character" w:styleId="Emphasis">
    <w:name w:val="Emphasis"/>
    <w:basedOn w:val="DefaultParagraphFont"/>
    <w:uiPriority w:val="20"/>
    <w:qFormat/>
    <w:rsid w:val="000B2C9D"/>
    <w:rPr>
      <w:i/>
      <w:iCs/>
    </w:rPr>
  </w:style>
  <w:style w:type="character" w:customStyle="1" w:styleId="Heading2Char">
    <w:name w:val="Heading 2 Char"/>
    <w:basedOn w:val="DefaultParagraphFont"/>
    <w:link w:val="Heading2"/>
    <w:uiPriority w:val="9"/>
    <w:semiHidden/>
    <w:rsid w:val="000770A9"/>
    <w:rPr>
      <w:rFonts w:asciiTheme="majorHAnsi" w:eastAsiaTheme="majorEastAsia" w:hAnsiTheme="majorHAnsi" w:cstheme="majorBidi"/>
      <w:color w:val="2F5496" w:themeColor="accent1" w:themeShade="BF"/>
      <w:sz w:val="26"/>
      <w:szCs w:val="26"/>
    </w:rPr>
  </w:style>
  <w:style w:type="paragraph" w:customStyle="1" w:styleId="contentsegment">
    <w:name w:val="content__segment"/>
    <w:basedOn w:val="Normal"/>
    <w:rsid w:val="000770A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09441">
      <w:bodyDiv w:val="1"/>
      <w:marLeft w:val="0"/>
      <w:marRight w:val="0"/>
      <w:marTop w:val="0"/>
      <w:marBottom w:val="0"/>
      <w:divBdr>
        <w:top w:val="none" w:sz="0" w:space="0" w:color="auto"/>
        <w:left w:val="none" w:sz="0" w:space="0" w:color="auto"/>
        <w:bottom w:val="none" w:sz="0" w:space="0" w:color="auto"/>
        <w:right w:val="none" w:sz="0" w:space="0" w:color="auto"/>
      </w:divBdr>
    </w:div>
    <w:div w:id="492719778">
      <w:bodyDiv w:val="1"/>
      <w:marLeft w:val="0"/>
      <w:marRight w:val="0"/>
      <w:marTop w:val="0"/>
      <w:marBottom w:val="0"/>
      <w:divBdr>
        <w:top w:val="none" w:sz="0" w:space="0" w:color="auto"/>
        <w:left w:val="none" w:sz="0" w:space="0" w:color="auto"/>
        <w:bottom w:val="none" w:sz="0" w:space="0" w:color="auto"/>
        <w:right w:val="none" w:sz="0" w:space="0" w:color="auto"/>
      </w:divBdr>
    </w:div>
    <w:div w:id="492838713">
      <w:bodyDiv w:val="1"/>
      <w:marLeft w:val="0"/>
      <w:marRight w:val="0"/>
      <w:marTop w:val="0"/>
      <w:marBottom w:val="0"/>
      <w:divBdr>
        <w:top w:val="none" w:sz="0" w:space="0" w:color="auto"/>
        <w:left w:val="none" w:sz="0" w:space="0" w:color="auto"/>
        <w:bottom w:val="none" w:sz="0" w:space="0" w:color="auto"/>
        <w:right w:val="none" w:sz="0" w:space="0" w:color="auto"/>
      </w:divBdr>
    </w:div>
    <w:div w:id="689721153">
      <w:bodyDiv w:val="1"/>
      <w:marLeft w:val="0"/>
      <w:marRight w:val="0"/>
      <w:marTop w:val="0"/>
      <w:marBottom w:val="0"/>
      <w:divBdr>
        <w:top w:val="none" w:sz="0" w:space="0" w:color="auto"/>
        <w:left w:val="none" w:sz="0" w:space="0" w:color="auto"/>
        <w:bottom w:val="none" w:sz="0" w:space="0" w:color="auto"/>
        <w:right w:val="none" w:sz="0" w:space="0" w:color="auto"/>
      </w:divBdr>
      <w:divsChild>
        <w:div w:id="1047729033">
          <w:marLeft w:val="0"/>
          <w:marRight w:val="0"/>
          <w:marTop w:val="0"/>
          <w:marBottom w:val="0"/>
          <w:divBdr>
            <w:top w:val="none" w:sz="0" w:space="0" w:color="auto"/>
            <w:left w:val="none" w:sz="0" w:space="0" w:color="auto"/>
            <w:bottom w:val="none" w:sz="0" w:space="0" w:color="auto"/>
            <w:right w:val="none" w:sz="0" w:space="0" w:color="auto"/>
          </w:divBdr>
          <w:divsChild>
            <w:div w:id="323820167">
              <w:marLeft w:val="0"/>
              <w:marRight w:val="0"/>
              <w:marTop w:val="0"/>
              <w:marBottom w:val="0"/>
              <w:divBdr>
                <w:top w:val="none" w:sz="0" w:space="0" w:color="auto"/>
                <w:left w:val="none" w:sz="0" w:space="0" w:color="auto"/>
                <w:bottom w:val="none" w:sz="0" w:space="0" w:color="auto"/>
                <w:right w:val="none" w:sz="0" w:space="0" w:color="auto"/>
              </w:divBdr>
              <w:divsChild>
                <w:div w:id="454060941">
                  <w:marLeft w:val="0"/>
                  <w:marRight w:val="0"/>
                  <w:marTop w:val="0"/>
                  <w:marBottom w:val="0"/>
                  <w:divBdr>
                    <w:top w:val="none" w:sz="0" w:space="0" w:color="auto"/>
                    <w:left w:val="none" w:sz="0" w:space="0" w:color="auto"/>
                    <w:bottom w:val="none" w:sz="0" w:space="0" w:color="auto"/>
                    <w:right w:val="none" w:sz="0" w:space="0" w:color="auto"/>
                  </w:divBdr>
                  <w:divsChild>
                    <w:div w:id="536553319">
                      <w:marLeft w:val="0"/>
                      <w:marRight w:val="0"/>
                      <w:marTop w:val="0"/>
                      <w:marBottom w:val="0"/>
                      <w:divBdr>
                        <w:top w:val="none" w:sz="0" w:space="0" w:color="auto"/>
                        <w:left w:val="none" w:sz="0" w:space="0" w:color="auto"/>
                        <w:bottom w:val="none" w:sz="0" w:space="0" w:color="auto"/>
                        <w:right w:val="none" w:sz="0" w:space="0" w:color="auto"/>
                      </w:divBdr>
                    </w:div>
                  </w:divsChild>
                </w:div>
                <w:div w:id="1472015554">
                  <w:marLeft w:val="0"/>
                  <w:marRight w:val="0"/>
                  <w:marTop w:val="0"/>
                  <w:marBottom w:val="0"/>
                  <w:divBdr>
                    <w:top w:val="none" w:sz="0" w:space="0" w:color="auto"/>
                    <w:left w:val="none" w:sz="0" w:space="0" w:color="auto"/>
                    <w:bottom w:val="none" w:sz="0" w:space="0" w:color="auto"/>
                    <w:right w:val="none" w:sz="0" w:space="0" w:color="auto"/>
                  </w:divBdr>
                  <w:divsChild>
                    <w:div w:id="484054650">
                      <w:marLeft w:val="0"/>
                      <w:marRight w:val="0"/>
                      <w:marTop w:val="0"/>
                      <w:marBottom w:val="0"/>
                      <w:divBdr>
                        <w:top w:val="none" w:sz="0" w:space="0" w:color="auto"/>
                        <w:left w:val="none" w:sz="0" w:space="0" w:color="auto"/>
                        <w:bottom w:val="none" w:sz="0" w:space="0" w:color="auto"/>
                        <w:right w:val="none" w:sz="0" w:space="0" w:color="auto"/>
                      </w:divBdr>
                      <w:divsChild>
                        <w:div w:id="902525514">
                          <w:marLeft w:val="0"/>
                          <w:marRight w:val="0"/>
                          <w:marTop w:val="0"/>
                          <w:marBottom w:val="0"/>
                          <w:divBdr>
                            <w:top w:val="none" w:sz="0" w:space="0" w:color="auto"/>
                            <w:left w:val="none" w:sz="0" w:space="0" w:color="auto"/>
                            <w:bottom w:val="none" w:sz="0" w:space="0" w:color="auto"/>
                            <w:right w:val="none" w:sz="0" w:space="0" w:color="auto"/>
                          </w:divBdr>
                          <w:divsChild>
                            <w:div w:id="2092267216">
                              <w:marLeft w:val="0"/>
                              <w:marRight w:val="0"/>
                              <w:marTop w:val="0"/>
                              <w:marBottom w:val="0"/>
                              <w:divBdr>
                                <w:top w:val="none" w:sz="0" w:space="0" w:color="auto"/>
                                <w:left w:val="none" w:sz="0" w:space="0" w:color="auto"/>
                                <w:bottom w:val="none" w:sz="0" w:space="0" w:color="auto"/>
                                <w:right w:val="none" w:sz="0" w:space="0" w:color="auto"/>
                              </w:divBdr>
                              <w:divsChild>
                                <w:div w:id="7603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97773">
          <w:marLeft w:val="0"/>
          <w:marRight w:val="0"/>
          <w:marTop w:val="0"/>
          <w:marBottom w:val="0"/>
          <w:divBdr>
            <w:top w:val="none" w:sz="0" w:space="0" w:color="auto"/>
            <w:left w:val="none" w:sz="0" w:space="0" w:color="auto"/>
            <w:bottom w:val="none" w:sz="0" w:space="0" w:color="auto"/>
            <w:right w:val="none" w:sz="0" w:space="0" w:color="auto"/>
          </w:divBdr>
          <w:divsChild>
            <w:div w:id="933132216">
              <w:marLeft w:val="0"/>
              <w:marRight w:val="0"/>
              <w:marTop w:val="0"/>
              <w:marBottom w:val="0"/>
              <w:divBdr>
                <w:top w:val="none" w:sz="0" w:space="0" w:color="auto"/>
                <w:left w:val="none" w:sz="0" w:space="0" w:color="auto"/>
                <w:bottom w:val="none" w:sz="0" w:space="0" w:color="auto"/>
                <w:right w:val="none" w:sz="0" w:space="0" w:color="auto"/>
              </w:divBdr>
              <w:divsChild>
                <w:div w:id="784613956">
                  <w:marLeft w:val="0"/>
                  <w:marRight w:val="0"/>
                  <w:marTop w:val="0"/>
                  <w:marBottom w:val="0"/>
                  <w:divBdr>
                    <w:top w:val="none" w:sz="0" w:space="0" w:color="auto"/>
                    <w:left w:val="none" w:sz="0" w:space="0" w:color="auto"/>
                    <w:bottom w:val="none" w:sz="0" w:space="0" w:color="auto"/>
                    <w:right w:val="none" w:sz="0" w:space="0" w:color="auto"/>
                  </w:divBdr>
                  <w:divsChild>
                    <w:div w:id="183533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555871">
      <w:bodyDiv w:val="1"/>
      <w:marLeft w:val="0"/>
      <w:marRight w:val="0"/>
      <w:marTop w:val="0"/>
      <w:marBottom w:val="0"/>
      <w:divBdr>
        <w:top w:val="none" w:sz="0" w:space="0" w:color="auto"/>
        <w:left w:val="none" w:sz="0" w:space="0" w:color="auto"/>
        <w:bottom w:val="none" w:sz="0" w:space="0" w:color="auto"/>
        <w:right w:val="none" w:sz="0" w:space="0" w:color="auto"/>
      </w:divBdr>
    </w:div>
    <w:div w:id="777675874">
      <w:bodyDiv w:val="1"/>
      <w:marLeft w:val="0"/>
      <w:marRight w:val="0"/>
      <w:marTop w:val="0"/>
      <w:marBottom w:val="0"/>
      <w:divBdr>
        <w:top w:val="none" w:sz="0" w:space="0" w:color="auto"/>
        <w:left w:val="none" w:sz="0" w:space="0" w:color="auto"/>
        <w:bottom w:val="none" w:sz="0" w:space="0" w:color="auto"/>
        <w:right w:val="none" w:sz="0" w:space="0" w:color="auto"/>
      </w:divBdr>
    </w:div>
    <w:div w:id="849492838">
      <w:bodyDiv w:val="1"/>
      <w:marLeft w:val="0"/>
      <w:marRight w:val="0"/>
      <w:marTop w:val="0"/>
      <w:marBottom w:val="0"/>
      <w:divBdr>
        <w:top w:val="none" w:sz="0" w:space="0" w:color="auto"/>
        <w:left w:val="none" w:sz="0" w:space="0" w:color="auto"/>
        <w:bottom w:val="none" w:sz="0" w:space="0" w:color="auto"/>
        <w:right w:val="none" w:sz="0" w:space="0" w:color="auto"/>
      </w:divBdr>
    </w:div>
    <w:div w:id="1228103374">
      <w:bodyDiv w:val="1"/>
      <w:marLeft w:val="0"/>
      <w:marRight w:val="0"/>
      <w:marTop w:val="0"/>
      <w:marBottom w:val="0"/>
      <w:divBdr>
        <w:top w:val="none" w:sz="0" w:space="0" w:color="auto"/>
        <w:left w:val="none" w:sz="0" w:space="0" w:color="auto"/>
        <w:bottom w:val="none" w:sz="0" w:space="0" w:color="auto"/>
        <w:right w:val="none" w:sz="0" w:space="0" w:color="auto"/>
      </w:divBdr>
    </w:div>
    <w:div w:id="1444107221">
      <w:bodyDiv w:val="1"/>
      <w:marLeft w:val="0"/>
      <w:marRight w:val="0"/>
      <w:marTop w:val="0"/>
      <w:marBottom w:val="0"/>
      <w:divBdr>
        <w:top w:val="none" w:sz="0" w:space="0" w:color="auto"/>
        <w:left w:val="none" w:sz="0" w:space="0" w:color="auto"/>
        <w:bottom w:val="none" w:sz="0" w:space="0" w:color="auto"/>
        <w:right w:val="none" w:sz="0" w:space="0" w:color="auto"/>
      </w:divBdr>
      <w:divsChild>
        <w:div w:id="4987854">
          <w:marLeft w:val="0"/>
          <w:marRight w:val="0"/>
          <w:marTop w:val="0"/>
          <w:marBottom w:val="0"/>
          <w:divBdr>
            <w:top w:val="none" w:sz="0" w:space="0" w:color="auto"/>
            <w:left w:val="none" w:sz="0" w:space="0" w:color="auto"/>
            <w:bottom w:val="none" w:sz="0" w:space="0" w:color="auto"/>
            <w:right w:val="none" w:sz="0" w:space="0" w:color="auto"/>
          </w:divBdr>
          <w:divsChild>
            <w:div w:id="1912305559">
              <w:marLeft w:val="0"/>
              <w:marRight w:val="0"/>
              <w:marTop w:val="0"/>
              <w:marBottom w:val="0"/>
              <w:divBdr>
                <w:top w:val="none" w:sz="0" w:space="0" w:color="auto"/>
                <w:left w:val="none" w:sz="0" w:space="0" w:color="auto"/>
                <w:bottom w:val="none" w:sz="0" w:space="0" w:color="auto"/>
                <w:right w:val="none" w:sz="0" w:space="0" w:color="auto"/>
              </w:divBdr>
              <w:divsChild>
                <w:div w:id="12952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4851">
          <w:marLeft w:val="0"/>
          <w:marRight w:val="0"/>
          <w:marTop w:val="0"/>
          <w:marBottom w:val="0"/>
          <w:divBdr>
            <w:top w:val="none" w:sz="0" w:space="0" w:color="auto"/>
            <w:left w:val="none" w:sz="0" w:space="0" w:color="auto"/>
            <w:bottom w:val="none" w:sz="0" w:space="0" w:color="auto"/>
            <w:right w:val="none" w:sz="0" w:space="0" w:color="auto"/>
          </w:divBdr>
          <w:divsChild>
            <w:div w:id="90695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76621">
      <w:bodyDiv w:val="1"/>
      <w:marLeft w:val="0"/>
      <w:marRight w:val="0"/>
      <w:marTop w:val="0"/>
      <w:marBottom w:val="0"/>
      <w:divBdr>
        <w:top w:val="none" w:sz="0" w:space="0" w:color="auto"/>
        <w:left w:val="none" w:sz="0" w:space="0" w:color="auto"/>
        <w:bottom w:val="none" w:sz="0" w:space="0" w:color="auto"/>
        <w:right w:val="none" w:sz="0" w:space="0" w:color="auto"/>
      </w:divBdr>
    </w:div>
    <w:div w:id="1781682996">
      <w:bodyDiv w:val="1"/>
      <w:marLeft w:val="0"/>
      <w:marRight w:val="0"/>
      <w:marTop w:val="0"/>
      <w:marBottom w:val="0"/>
      <w:divBdr>
        <w:top w:val="none" w:sz="0" w:space="0" w:color="auto"/>
        <w:left w:val="none" w:sz="0" w:space="0" w:color="auto"/>
        <w:bottom w:val="none" w:sz="0" w:space="0" w:color="auto"/>
        <w:right w:val="none" w:sz="0" w:space="0" w:color="auto"/>
      </w:divBdr>
    </w:div>
    <w:div w:id="1787307826">
      <w:bodyDiv w:val="1"/>
      <w:marLeft w:val="0"/>
      <w:marRight w:val="0"/>
      <w:marTop w:val="0"/>
      <w:marBottom w:val="0"/>
      <w:divBdr>
        <w:top w:val="none" w:sz="0" w:space="0" w:color="auto"/>
        <w:left w:val="none" w:sz="0" w:space="0" w:color="auto"/>
        <w:bottom w:val="none" w:sz="0" w:space="0" w:color="auto"/>
        <w:right w:val="none" w:sz="0" w:space="0" w:color="auto"/>
      </w:divBdr>
    </w:div>
    <w:div w:id="2081756933">
      <w:bodyDiv w:val="1"/>
      <w:marLeft w:val="0"/>
      <w:marRight w:val="0"/>
      <w:marTop w:val="0"/>
      <w:marBottom w:val="0"/>
      <w:divBdr>
        <w:top w:val="none" w:sz="0" w:space="0" w:color="auto"/>
        <w:left w:val="none" w:sz="0" w:space="0" w:color="auto"/>
        <w:bottom w:val="none" w:sz="0" w:space="0" w:color="auto"/>
        <w:right w:val="none" w:sz="0" w:space="0" w:color="auto"/>
      </w:divBdr>
    </w:div>
    <w:div w:id="210758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xastrustcu.org/more-service/about-us/" TargetMode="External"/><Relationship Id="rId13" Type="http://schemas.openxmlformats.org/officeDocument/2006/relationships/hyperlink" Target="http://www.facebook.com/texastrustcu"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xasTrustCU.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xastrustcu.org/news/texas-trust-credit-union-sees-superior-growth-20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texastrustcu.org/my-texas-trust/about/annual-report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witter.com/texastrustcu"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tnichols@texastrustcu.org" TargetMode="External"/><Relationship Id="rId2" Type="http://schemas.openxmlformats.org/officeDocument/2006/relationships/hyperlink" Target="mailto:kristine@duxpr.com" TargetMode="External"/><Relationship Id="rId1" Type="http://schemas.openxmlformats.org/officeDocument/2006/relationships/hyperlink" Target="mailto:tnichols@texastrustcu.org" TargetMode="External"/><Relationship Id="rId5" Type="http://schemas.openxmlformats.org/officeDocument/2006/relationships/image" Target="media/image3.jpeg"/><Relationship Id="rId4" Type="http://schemas.openxmlformats.org/officeDocument/2006/relationships/hyperlink" Target="mailto:kristine@duxpr.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72444-633E-45AA-BFA1-7137E56C7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Texas Trust Pumps Up Online Banking Tools</vt:lpstr>
    </vt:vector>
  </TitlesOfParts>
  <Company>Hewlett-Packard</Company>
  <LinksUpToDate>false</LinksUpToDate>
  <CharactersWithSpaces>4214</CharactersWithSpaces>
  <SharedDoc>false</SharedDoc>
  <HLinks>
    <vt:vector size="42" baseType="variant">
      <vt:variant>
        <vt:i4>2293801</vt:i4>
      </vt:variant>
      <vt:variant>
        <vt:i4>12</vt:i4>
      </vt:variant>
      <vt:variant>
        <vt:i4>0</vt:i4>
      </vt:variant>
      <vt:variant>
        <vt:i4>5</vt:i4>
      </vt:variant>
      <vt:variant>
        <vt:lpwstr>http://www.twitter.com/texastrustcu</vt:lpwstr>
      </vt:variant>
      <vt:variant>
        <vt:lpwstr/>
      </vt:variant>
      <vt:variant>
        <vt:i4>4784195</vt:i4>
      </vt:variant>
      <vt:variant>
        <vt:i4>9</vt:i4>
      </vt:variant>
      <vt:variant>
        <vt:i4>0</vt:i4>
      </vt:variant>
      <vt:variant>
        <vt:i4>5</vt:i4>
      </vt:variant>
      <vt:variant>
        <vt:lpwstr>http://www.facebook.com/texastrustcu</vt:lpwstr>
      </vt:variant>
      <vt:variant>
        <vt:lpwstr/>
      </vt:variant>
      <vt:variant>
        <vt:i4>4522076</vt:i4>
      </vt:variant>
      <vt:variant>
        <vt:i4>6</vt:i4>
      </vt:variant>
      <vt:variant>
        <vt:i4>0</vt:i4>
      </vt:variant>
      <vt:variant>
        <vt:i4>5</vt:i4>
      </vt:variant>
      <vt:variant>
        <vt:lpwstr>http://www.texastrustcu.org/</vt:lpwstr>
      </vt:variant>
      <vt:variant>
        <vt:lpwstr/>
      </vt:variant>
      <vt:variant>
        <vt:i4>4980749</vt:i4>
      </vt:variant>
      <vt:variant>
        <vt:i4>3</vt:i4>
      </vt:variant>
      <vt:variant>
        <vt:i4>0</vt:i4>
      </vt:variant>
      <vt:variant>
        <vt:i4>5</vt:i4>
      </vt:variant>
      <vt:variant>
        <vt:lpwstr>https://www.texastrustcu.org/news/texas-trust-credit-union-achieves-1-billion-assets/</vt:lpwstr>
      </vt:variant>
      <vt:variant>
        <vt:lpwstr/>
      </vt:variant>
      <vt:variant>
        <vt:i4>4522076</vt:i4>
      </vt:variant>
      <vt:variant>
        <vt:i4>0</vt:i4>
      </vt:variant>
      <vt:variant>
        <vt:i4>0</vt:i4>
      </vt:variant>
      <vt:variant>
        <vt:i4>5</vt:i4>
      </vt:variant>
      <vt:variant>
        <vt:lpwstr>http://www.texastrustcu.org/</vt:lpwstr>
      </vt:variant>
      <vt:variant>
        <vt:lpwstr/>
      </vt:variant>
      <vt:variant>
        <vt:i4>8257610</vt:i4>
      </vt:variant>
      <vt:variant>
        <vt:i4>3</vt:i4>
      </vt:variant>
      <vt:variant>
        <vt:i4>0</vt:i4>
      </vt:variant>
      <vt:variant>
        <vt:i4>5</vt:i4>
      </vt:variant>
      <vt:variant>
        <vt:lpwstr>mailto:kristine@duxpr.com</vt:lpwstr>
      </vt:variant>
      <vt:variant>
        <vt:lpwstr/>
      </vt:variant>
      <vt:variant>
        <vt:i4>3801098</vt:i4>
      </vt:variant>
      <vt:variant>
        <vt:i4>0</vt:i4>
      </vt:variant>
      <vt:variant>
        <vt:i4>0</vt:i4>
      </vt:variant>
      <vt:variant>
        <vt:i4>5</vt:i4>
      </vt:variant>
      <vt:variant>
        <vt:lpwstr>mailto:adanford@texastrustcu.org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Trust Pumps Up Online Banking Tools</dc:title>
  <dc:creator>Kevin</dc:creator>
  <cp:lastModifiedBy>Kristine</cp:lastModifiedBy>
  <cp:revision>6</cp:revision>
  <cp:lastPrinted>2012-03-04T20:57:00Z</cp:lastPrinted>
  <dcterms:created xsi:type="dcterms:W3CDTF">2021-03-19T15:45:00Z</dcterms:created>
  <dcterms:modified xsi:type="dcterms:W3CDTF">2021-03-22T13:23:00Z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