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2947" w14:textId="3F8C54B9" w:rsidR="007D03B3" w:rsidRPr="007D03B3" w:rsidRDefault="007D03B3" w:rsidP="007D03B3">
      <w:pPr>
        <w:textAlignment w:val="baseline"/>
        <w:rPr>
          <w:rFonts w:ascii="Calibri" w:eastAsia="Times New Roman" w:hAnsi="Calibri" w:cs="Calibri"/>
          <w:color w:val="000000"/>
          <w:sz w:val="22"/>
          <w:szCs w:val="22"/>
        </w:rPr>
      </w:pPr>
      <w:r w:rsidRPr="007D03B3">
        <w:rPr>
          <w:rFonts w:ascii="Calibri" w:eastAsia="Times New Roman" w:hAnsi="Calibri" w:cs="Calibri"/>
          <w:b/>
          <w:bCs/>
          <w:color w:val="000000"/>
          <w:bdr w:val="none" w:sz="0" w:space="0" w:color="auto" w:frame="1"/>
          <w:shd w:val="clear" w:color="auto" w:fill="FFFFFF"/>
        </w:rPr>
        <w:t>FOR IMMEDIATE RELEASE </w:t>
      </w:r>
      <w:r w:rsidRPr="007D03B3">
        <w:rPr>
          <w:rFonts w:ascii="Calibri" w:eastAsia="Times New Roman" w:hAnsi="Calibri" w:cs="Calibri"/>
          <w:b/>
          <w:bCs/>
          <w:color w:val="000000"/>
          <w:bdr w:val="none" w:sz="0" w:space="0" w:color="auto" w:frame="1"/>
        </w:rPr>
        <w:br/>
      </w:r>
    </w:p>
    <w:p w14:paraId="2F8A47F5" w14:textId="77777777" w:rsidR="007D03B3" w:rsidRPr="007D03B3" w:rsidRDefault="007D03B3" w:rsidP="007D03B3">
      <w:pPr>
        <w:textAlignment w:val="baseline"/>
        <w:rPr>
          <w:rFonts w:ascii="Times New Roman" w:eastAsia="Times New Roman" w:hAnsi="Times New Roman" w:cs="Times New Roman"/>
        </w:rPr>
      </w:pPr>
      <w:r w:rsidRPr="007D03B3">
        <w:rPr>
          <w:rFonts w:ascii="Calibri" w:eastAsia="Times New Roman" w:hAnsi="Calibri" w:cs="Calibri"/>
          <w:b/>
          <w:bCs/>
          <w:color w:val="000000"/>
          <w:sz w:val="28"/>
          <w:szCs w:val="28"/>
          <w:bdr w:val="none" w:sz="0" w:space="0" w:color="auto" w:frame="1"/>
        </w:rPr>
        <w:t xml:space="preserve">CU Risk Intelligence names </w:t>
      </w:r>
      <w:proofErr w:type="spellStart"/>
      <w:r w:rsidRPr="007D03B3">
        <w:rPr>
          <w:rFonts w:ascii="Calibri" w:eastAsia="Times New Roman" w:hAnsi="Calibri" w:cs="Calibri"/>
          <w:b/>
          <w:bCs/>
          <w:color w:val="000000"/>
          <w:sz w:val="28"/>
          <w:szCs w:val="28"/>
          <w:bdr w:val="none" w:sz="0" w:space="0" w:color="auto" w:frame="1"/>
        </w:rPr>
        <w:t>LeDu</w:t>
      </w:r>
      <w:proofErr w:type="spellEnd"/>
      <w:r w:rsidRPr="007D03B3">
        <w:rPr>
          <w:rFonts w:ascii="Calibri" w:eastAsia="Times New Roman" w:hAnsi="Calibri" w:cs="Calibri"/>
          <w:b/>
          <w:bCs/>
          <w:color w:val="000000"/>
          <w:sz w:val="28"/>
          <w:szCs w:val="28"/>
          <w:bdr w:val="none" w:sz="0" w:space="0" w:color="auto" w:frame="1"/>
        </w:rPr>
        <w:t xml:space="preserve"> as Chief Executive Officer </w:t>
      </w:r>
    </w:p>
    <w:p w14:paraId="3B4056FE" w14:textId="094F3AB8" w:rsidR="007D03B3" w:rsidRPr="007D03B3" w:rsidRDefault="007D03B3" w:rsidP="007D03B3">
      <w:pPr>
        <w:textAlignment w:val="baseline"/>
        <w:rPr>
          <w:rFonts w:ascii="Times New Roman" w:eastAsia="Times New Roman" w:hAnsi="Times New Roman" w:cs="Times New Roman"/>
        </w:rPr>
      </w:pPr>
      <w:r w:rsidRPr="007D03B3">
        <w:rPr>
          <w:rFonts w:ascii="Calibri" w:eastAsia="Times New Roman" w:hAnsi="Calibri" w:cs="Calibri"/>
          <w:b/>
          <w:bCs/>
          <w:i/>
          <w:iCs/>
          <w:color w:val="000000"/>
          <w:sz w:val="20"/>
          <w:szCs w:val="20"/>
          <w:bdr w:val="none" w:sz="0" w:space="0" w:color="auto" w:frame="1"/>
        </w:rPr>
        <w:t xml:space="preserve">Management Contract creates alignment between CU Risk Intelligence and League </w:t>
      </w:r>
      <w:proofErr w:type="spellStart"/>
      <w:r w:rsidRPr="007D03B3">
        <w:rPr>
          <w:rFonts w:ascii="Calibri" w:eastAsia="Times New Roman" w:hAnsi="Calibri" w:cs="Calibri"/>
          <w:b/>
          <w:bCs/>
          <w:i/>
          <w:iCs/>
          <w:color w:val="000000"/>
          <w:sz w:val="20"/>
          <w:szCs w:val="20"/>
          <w:bdr w:val="none" w:sz="0" w:space="0" w:color="auto" w:frame="1"/>
        </w:rPr>
        <w:t>InfoSight</w:t>
      </w:r>
      <w:proofErr w:type="spellEnd"/>
      <w:r w:rsidRPr="007D03B3">
        <w:rPr>
          <w:rFonts w:ascii="Calibri" w:eastAsia="Times New Roman" w:hAnsi="Calibri" w:cs="Calibri"/>
          <w:b/>
          <w:bCs/>
          <w:i/>
          <w:iCs/>
          <w:color w:val="000000"/>
          <w:sz w:val="20"/>
          <w:szCs w:val="20"/>
          <w:bdr w:val="none" w:sz="0" w:space="0" w:color="auto" w:frame="1"/>
        </w:rPr>
        <w:t> </w:t>
      </w:r>
      <w:r w:rsidRPr="007D03B3">
        <w:rPr>
          <w:rFonts w:ascii="Calibri" w:eastAsia="Times New Roman" w:hAnsi="Calibri" w:cs="Calibri"/>
          <w:b/>
          <w:bCs/>
          <w:color w:val="000000"/>
          <w:bdr w:val="none" w:sz="0" w:space="0" w:color="auto" w:frame="1"/>
        </w:rPr>
        <w:br/>
      </w:r>
    </w:p>
    <w:p w14:paraId="3B928398" w14:textId="335F86FC" w:rsidR="007D03B3" w:rsidRPr="007D03B3" w:rsidRDefault="007D03B3" w:rsidP="007D03B3">
      <w:pPr>
        <w:textAlignment w:val="baseline"/>
        <w:rPr>
          <w:rFonts w:ascii="Times New Roman" w:eastAsia="Times New Roman" w:hAnsi="Times New Roman" w:cs="Times New Roman"/>
        </w:rPr>
      </w:pPr>
      <w:r>
        <w:rPr>
          <w:rFonts w:ascii="Calibri" w:eastAsia="Times New Roman" w:hAnsi="Calibri" w:cs="Calibri"/>
          <w:b/>
          <w:bCs/>
          <w:color w:val="000000"/>
          <w:bdr w:val="none" w:sz="0" w:space="0" w:color="auto" w:frame="1"/>
        </w:rPr>
        <w:t>LIVONIA</w:t>
      </w:r>
      <w:r w:rsidRPr="007D03B3">
        <w:rPr>
          <w:rFonts w:ascii="Calibri" w:eastAsia="Times New Roman" w:hAnsi="Calibri" w:cs="Calibri"/>
          <w:b/>
          <w:bCs/>
          <w:color w:val="000000"/>
          <w:bdr w:val="none" w:sz="0" w:space="0" w:color="auto" w:frame="1"/>
        </w:rPr>
        <w:t>, M</w:t>
      </w:r>
      <w:r>
        <w:rPr>
          <w:rFonts w:ascii="Calibri" w:eastAsia="Times New Roman" w:hAnsi="Calibri" w:cs="Calibri"/>
          <w:b/>
          <w:bCs/>
          <w:color w:val="000000"/>
          <w:bdr w:val="none" w:sz="0" w:space="0" w:color="auto" w:frame="1"/>
        </w:rPr>
        <w:t xml:space="preserve">ich. </w:t>
      </w:r>
      <w:r w:rsidRPr="007D03B3">
        <w:rPr>
          <w:rFonts w:ascii="Calibri" w:eastAsia="Times New Roman" w:hAnsi="Calibri" w:cs="Calibri"/>
          <w:b/>
          <w:bCs/>
          <w:color w:val="000000"/>
          <w:bdr w:val="none" w:sz="0" w:space="0" w:color="auto" w:frame="1"/>
        </w:rPr>
        <w:t>– September 22, 2022 –</w:t>
      </w:r>
      <w:r w:rsidRPr="007D03B3">
        <w:rPr>
          <w:rFonts w:ascii="Calibri" w:eastAsia="Times New Roman" w:hAnsi="Calibri" w:cs="Calibri"/>
          <w:color w:val="000000"/>
          <w:bdr w:val="none" w:sz="0" w:space="0" w:color="auto" w:frame="1"/>
        </w:rPr>
        <w:t xml:space="preserve"> CU Risk Intelligence (CURI), a leading industry provider of GRC solutions </w:t>
      </w:r>
      <w:proofErr w:type="spellStart"/>
      <w:r w:rsidRPr="007D03B3">
        <w:rPr>
          <w:rFonts w:ascii="Calibri" w:eastAsia="Times New Roman" w:hAnsi="Calibri" w:cs="Calibri"/>
          <w:color w:val="000000"/>
          <w:bdr w:val="none" w:sz="0" w:space="0" w:color="auto" w:frame="1"/>
        </w:rPr>
        <w:t>AffirmX</w:t>
      </w:r>
      <w:proofErr w:type="spellEnd"/>
      <w:r w:rsidRPr="007D03B3">
        <w:rPr>
          <w:rFonts w:ascii="Calibri" w:eastAsia="Times New Roman" w:hAnsi="Calibri" w:cs="Calibri"/>
          <w:color w:val="000000"/>
          <w:bdr w:val="none" w:sz="0" w:space="0" w:color="auto" w:frame="1"/>
        </w:rPr>
        <w:t xml:space="preserve">, </w:t>
      </w:r>
      <w:proofErr w:type="spellStart"/>
      <w:r w:rsidRPr="007D03B3">
        <w:rPr>
          <w:rFonts w:ascii="Calibri" w:eastAsia="Times New Roman" w:hAnsi="Calibri" w:cs="Calibri"/>
          <w:color w:val="000000"/>
          <w:bdr w:val="none" w:sz="0" w:space="0" w:color="auto" w:frame="1"/>
        </w:rPr>
        <w:t>ComplySight</w:t>
      </w:r>
      <w:proofErr w:type="spellEnd"/>
      <w:r w:rsidRPr="007D03B3">
        <w:rPr>
          <w:rFonts w:ascii="Calibri" w:eastAsia="Times New Roman" w:hAnsi="Calibri" w:cs="Calibri"/>
          <w:color w:val="000000"/>
          <w:bdr w:val="none" w:sz="0" w:space="0" w:color="auto" w:frame="1"/>
        </w:rPr>
        <w:t xml:space="preserve">, and CU Vendor Management, announced that Glory </w:t>
      </w:r>
      <w:proofErr w:type="spellStart"/>
      <w:r w:rsidRPr="007D03B3">
        <w:rPr>
          <w:rFonts w:ascii="Calibri" w:eastAsia="Times New Roman" w:hAnsi="Calibri" w:cs="Calibri"/>
          <w:color w:val="000000"/>
          <w:bdr w:val="none" w:sz="0" w:space="0" w:color="auto" w:frame="1"/>
        </w:rPr>
        <w:t>LeDu</w:t>
      </w:r>
      <w:proofErr w:type="spellEnd"/>
      <w:r w:rsidRPr="007D03B3">
        <w:rPr>
          <w:rFonts w:ascii="Calibri" w:eastAsia="Times New Roman" w:hAnsi="Calibri" w:cs="Calibri"/>
          <w:color w:val="000000"/>
          <w:bdr w:val="none" w:sz="0" w:space="0" w:color="auto" w:frame="1"/>
        </w:rPr>
        <w:t xml:space="preserve"> has been named as Chief Executive Officer (CEO), succeeding Dave Adams who resigned to facilitate the management alliance with League </w:t>
      </w:r>
      <w:proofErr w:type="spellStart"/>
      <w:r w:rsidRPr="007D03B3">
        <w:rPr>
          <w:rFonts w:ascii="Calibri" w:eastAsia="Times New Roman" w:hAnsi="Calibri" w:cs="Calibri"/>
          <w:color w:val="000000"/>
          <w:bdr w:val="none" w:sz="0" w:space="0" w:color="auto" w:frame="1"/>
        </w:rPr>
        <w:t>InfoSight</w:t>
      </w:r>
      <w:proofErr w:type="spellEnd"/>
      <w:r w:rsidRPr="007D03B3">
        <w:rPr>
          <w:rFonts w:ascii="Calibri" w:eastAsia="Times New Roman" w:hAnsi="Calibri" w:cs="Calibri"/>
          <w:color w:val="000000"/>
          <w:bdr w:val="none" w:sz="0" w:space="0" w:color="auto" w:frame="1"/>
        </w:rPr>
        <w:t>.  </w:t>
      </w:r>
      <w:r w:rsidRPr="007D03B3">
        <w:rPr>
          <w:rFonts w:ascii="Calibri" w:eastAsia="Times New Roman" w:hAnsi="Calibri" w:cs="Calibri"/>
          <w:color w:val="000000"/>
          <w:bdr w:val="none" w:sz="0" w:space="0" w:color="auto" w:frame="1"/>
        </w:rPr>
        <w:br/>
      </w:r>
    </w:p>
    <w:p w14:paraId="6DC91314" w14:textId="67B07F0A" w:rsidR="007D03B3" w:rsidRPr="007D03B3" w:rsidRDefault="007D03B3" w:rsidP="007D03B3">
      <w:pPr>
        <w:textAlignment w:val="baseline"/>
        <w:rPr>
          <w:rFonts w:ascii="Times New Roman" w:eastAsia="Times New Roman" w:hAnsi="Times New Roman" w:cs="Times New Roman"/>
        </w:rPr>
      </w:pPr>
      <w:proofErr w:type="spellStart"/>
      <w:r w:rsidRPr="007D03B3">
        <w:rPr>
          <w:rFonts w:ascii="Calibri" w:eastAsia="Times New Roman" w:hAnsi="Calibri" w:cs="Calibri"/>
          <w:color w:val="000000"/>
          <w:bdr w:val="none" w:sz="0" w:space="0" w:color="auto" w:frame="1"/>
        </w:rPr>
        <w:t>LeDu</w:t>
      </w:r>
      <w:proofErr w:type="spellEnd"/>
      <w:r w:rsidRPr="007D03B3">
        <w:rPr>
          <w:rFonts w:ascii="Calibri" w:eastAsia="Times New Roman" w:hAnsi="Calibri" w:cs="Calibri"/>
          <w:color w:val="000000"/>
          <w:bdr w:val="none" w:sz="0" w:space="0" w:color="auto" w:frame="1"/>
        </w:rPr>
        <w:t xml:space="preserve"> will also continue to serve as the CEO of League </w:t>
      </w:r>
      <w:proofErr w:type="spellStart"/>
      <w:r w:rsidRPr="007D03B3">
        <w:rPr>
          <w:rFonts w:ascii="Calibri" w:eastAsia="Times New Roman" w:hAnsi="Calibri" w:cs="Calibri"/>
          <w:color w:val="000000"/>
          <w:bdr w:val="none" w:sz="0" w:space="0" w:color="auto" w:frame="1"/>
        </w:rPr>
        <w:t>InfoSight</w:t>
      </w:r>
      <w:proofErr w:type="spellEnd"/>
      <w:r w:rsidRPr="007D03B3">
        <w:rPr>
          <w:rFonts w:ascii="Calibri" w:eastAsia="Times New Roman" w:hAnsi="Calibri" w:cs="Calibri"/>
          <w:color w:val="000000"/>
          <w:bdr w:val="none" w:sz="0" w:space="0" w:color="auto" w:frame="1"/>
        </w:rPr>
        <w:t xml:space="preserve">, a position she has maintained since 2017, providing combined leadership over both league-owned entities. Adams will continue as Chairman of the Board for CURI. Since its formation in 2019, CURI has engaged CU Solutions Group to manage the company through a management contract. CUSG CEO Dave Adams has overseen a small CUSG team that has provided leadership and product management services. This management contract now transfers to League </w:t>
      </w:r>
      <w:proofErr w:type="spellStart"/>
      <w:r w:rsidRPr="007D03B3">
        <w:rPr>
          <w:rFonts w:ascii="Calibri" w:eastAsia="Times New Roman" w:hAnsi="Calibri" w:cs="Calibri"/>
          <w:color w:val="000000"/>
          <w:bdr w:val="none" w:sz="0" w:space="0" w:color="auto" w:frame="1"/>
        </w:rPr>
        <w:t>InfoSight</w:t>
      </w:r>
      <w:proofErr w:type="spellEnd"/>
      <w:r w:rsidRPr="007D03B3">
        <w:rPr>
          <w:rFonts w:ascii="Calibri" w:eastAsia="Times New Roman" w:hAnsi="Calibri" w:cs="Calibri"/>
          <w:color w:val="000000"/>
          <w:bdr w:val="none" w:sz="0" w:space="0" w:color="auto" w:frame="1"/>
        </w:rPr>
        <w:t xml:space="preserve"> with Glory as CEO of both companies. </w:t>
      </w:r>
      <w:r w:rsidRPr="007D03B3">
        <w:rPr>
          <w:rFonts w:ascii="Calibri" w:eastAsia="Times New Roman" w:hAnsi="Calibri" w:cs="Calibri"/>
          <w:color w:val="000000"/>
          <w:bdr w:val="none" w:sz="0" w:space="0" w:color="auto" w:frame="1"/>
        </w:rPr>
        <w:br/>
      </w:r>
    </w:p>
    <w:p w14:paraId="1E70CC3A" w14:textId="0A227A0A" w:rsidR="007D03B3" w:rsidRPr="007D03B3" w:rsidRDefault="007D03B3" w:rsidP="007D03B3">
      <w:pPr>
        <w:textAlignment w:val="baseline"/>
        <w:rPr>
          <w:rFonts w:ascii="Times New Roman" w:eastAsia="Times New Roman" w:hAnsi="Times New Roman" w:cs="Times New Roman"/>
        </w:rPr>
      </w:pPr>
      <w:r w:rsidRPr="007D03B3">
        <w:rPr>
          <w:rFonts w:ascii="Calibri" w:eastAsia="Times New Roman" w:hAnsi="Calibri" w:cs="Calibri"/>
          <w:color w:val="000000"/>
          <w:bdr w:val="none" w:sz="0" w:space="0" w:color="auto" w:frame="1"/>
        </w:rPr>
        <w:t xml:space="preserve">Representing the CURI Board, Adams described the management shift as a natural next step for CURI. “Both CURI and League </w:t>
      </w:r>
      <w:proofErr w:type="spellStart"/>
      <w:r w:rsidRPr="007D03B3">
        <w:rPr>
          <w:rFonts w:ascii="Calibri" w:eastAsia="Times New Roman" w:hAnsi="Calibri" w:cs="Calibri"/>
          <w:color w:val="000000"/>
          <w:bdr w:val="none" w:sz="0" w:space="0" w:color="auto" w:frame="1"/>
        </w:rPr>
        <w:t>InfoSight</w:t>
      </w:r>
      <w:proofErr w:type="spellEnd"/>
      <w:r w:rsidRPr="007D03B3">
        <w:rPr>
          <w:rFonts w:ascii="Calibri" w:eastAsia="Times New Roman" w:hAnsi="Calibri" w:cs="Calibri"/>
          <w:color w:val="000000"/>
          <w:bdr w:val="none" w:sz="0" w:space="0" w:color="auto" w:frame="1"/>
        </w:rPr>
        <w:t xml:space="preserve"> exist to help credit unions gain high-quality compliance and risk management services via a network of state and regional associations and their business units. This management alignment will help achieve a logical synergy and alignment between the two companies. In the case of League </w:t>
      </w:r>
      <w:proofErr w:type="spellStart"/>
      <w:r w:rsidRPr="007D03B3">
        <w:rPr>
          <w:rFonts w:ascii="Calibri" w:eastAsia="Times New Roman" w:hAnsi="Calibri" w:cs="Calibri"/>
          <w:color w:val="000000"/>
          <w:bdr w:val="none" w:sz="0" w:space="0" w:color="auto" w:frame="1"/>
        </w:rPr>
        <w:t>InfoSight</w:t>
      </w:r>
      <w:proofErr w:type="spellEnd"/>
      <w:r w:rsidRPr="007D03B3">
        <w:rPr>
          <w:rFonts w:ascii="Calibri" w:eastAsia="Times New Roman" w:hAnsi="Calibri" w:cs="Calibri"/>
          <w:color w:val="000000"/>
          <w:bdr w:val="none" w:sz="0" w:space="0" w:color="auto" w:frame="1"/>
        </w:rPr>
        <w:t xml:space="preserve">, products like </w:t>
      </w:r>
      <w:proofErr w:type="spellStart"/>
      <w:r w:rsidRPr="007D03B3">
        <w:rPr>
          <w:rFonts w:ascii="Calibri" w:eastAsia="Times New Roman" w:hAnsi="Calibri" w:cs="Calibri"/>
          <w:color w:val="000000"/>
          <w:bdr w:val="none" w:sz="0" w:space="0" w:color="auto" w:frame="1"/>
        </w:rPr>
        <w:t>InfoSight</w:t>
      </w:r>
      <w:proofErr w:type="spellEnd"/>
      <w:r w:rsidRPr="007D03B3">
        <w:rPr>
          <w:rFonts w:ascii="Calibri" w:eastAsia="Times New Roman" w:hAnsi="Calibri" w:cs="Calibri"/>
          <w:color w:val="000000"/>
          <w:bdr w:val="none" w:sz="0" w:space="0" w:color="auto" w:frame="1"/>
        </w:rPr>
        <w:t xml:space="preserve">, CU </w:t>
      </w:r>
      <w:proofErr w:type="spellStart"/>
      <w:r w:rsidRPr="007D03B3">
        <w:rPr>
          <w:rFonts w:ascii="Calibri" w:eastAsia="Times New Roman" w:hAnsi="Calibri" w:cs="Calibri"/>
          <w:color w:val="000000"/>
          <w:bdr w:val="none" w:sz="0" w:space="0" w:color="auto" w:frame="1"/>
        </w:rPr>
        <w:t>PolicyPro</w:t>
      </w:r>
      <w:proofErr w:type="spellEnd"/>
      <w:r w:rsidRPr="007D03B3">
        <w:rPr>
          <w:rFonts w:ascii="Calibri" w:eastAsia="Times New Roman" w:hAnsi="Calibri" w:cs="Calibri"/>
          <w:color w:val="000000"/>
          <w:bdr w:val="none" w:sz="0" w:space="0" w:color="auto" w:frame="1"/>
        </w:rPr>
        <w:t xml:space="preserve"> are provided as a value-add to affiliation with access typically funded by the associations. For CURI, its products are best-in-class fee-based products that further assist credit unions of all sizes.” </w:t>
      </w:r>
      <w:r w:rsidRPr="007D03B3">
        <w:rPr>
          <w:rFonts w:ascii="Calibri" w:eastAsia="Times New Roman" w:hAnsi="Calibri" w:cs="Calibri"/>
          <w:color w:val="000000"/>
          <w:bdr w:val="none" w:sz="0" w:space="0" w:color="auto" w:frame="1"/>
        </w:rPr>
        <w:br/>
      </w:r>
    </w:p>
    <w:p w14:paraId="68579E4A" w14:textId="77777777" w:rsidR="007D03B3" w:rsidRPr="007D03B3" w:rsidRDefault="007D03B3" w:rsidP="007D03B3">
      <w:pPr>
        <w:textAlignment w:val="baseline"/>
        <w:rPr>
          <w:rFonts w:ascii="Times New Roman" w:eastAsia="Times New Roman" w:hAnsi="Times New Roman" w:cs="Times New Roman"/>
        </w:rPr>
      </w:pPr>
      <w:r w:rsidRPr="007D03B3">
        <w:rPr>
          <w:rFonts w:ascii="Calibri" w:eastAsia="Times New Roman" w:hAnsi="Calibri" w:cs="Calibri"/>
          <w:color w:val="000000"/>
          <w:bdr w:val="none" w:sz="0" w:space="0" w:color="auto" w:frame="1"/>
        </w:rPr>
        <w:t xml:space="preserve">CU Risk Intelligence is an alliance of credit union leagues, league service corporations and CUSOs including CU Solutions Group, Cornerstone Resources, </w:t>
      </w:r>
      <w:proofErr w:type="spellStart"/>
      <w:r w:rsidRPr="007D03B3">
        <w:rPr>
          <w:rFonts w:ascii="Calibri" w:eastAsia="Times New Roman" w:hAnsi="Calibri" w:cs="Calibri"/>
          <w:color w:val="000000"/>
          <w:bdr w:val="none" w:sz="0" w:space="0" w:color="auto" w:frame="1"/>
        </w:rPr>
        <w:t>GoWest</w:t>
      </w:r>
      <w:proofErr w:type="spellEnd"/>
      <w:r w:rsidRPr="007D03B3">
        <w:rPr>
          <w:rFonts w:ascii="Calibri" w:eastAsia="Times New Roman" w:hAnsi="Calibri" w:cs="Calibri"/>
          <w:color w:val="000000"/>
          <w:bdr w:val="none" w:sz="0" w:space="0" w:color="auto" w:frame="1"/>
        </w:rPr>
        <w:t xml:space="preserve"> Credit Union Association, Indiana Credit Union League, League of Southeastern Credit Unions, Credit Union League of Connecticut, Maryland &amp; DC Credit Union Association, and League </w:t>
      </w:r>
      <w:proofErr w:type="spellStart"/>
      <w:r w:rsidRPr="007D03B3">
        <w:rPr>
          <w:rFonts w:ascii="Calibri" w:eastAsia="Times New Roman" w:hAnsi="Calibri" w:cs="Calibri"/>
          <w:color w:val="000000"/>
          <w:bdr w:val="none" w:sz="0" w:space="0" w:color="auto" w:frame="1"/>
        </w:rPr>
        <w:t>InfoSight</w:t>
      </w:r>
      <w:proofErr w:type="spellEnd"/>
      <w:r w:rsidRPr="007D03B3">
        <w:rPr>
          <w:rFonts w:ascii="Calibri" w:eastAsia="Times New Roman" w:hAnsi="Calibri" w:cs="Calibri"/>
          <w:color w:val="000000"/>
          <w:bdr w:val="none" w:sz="0" w:space="0" w:color="auto" w:frame="1"/>
        </w:rPr>
        <w:t xml:space="preserve">.  CU Risk Intelligence provides full-service resources through </w:t>
      </w:r>
      <w:proofErr w:type="spellStart"/>
      <w:r w:rsidRPr="007D03B3">
        <w:rPr>
          <w:rFonts w:ascii="Calibri" w:eastAsia="Times New Roman" w:hAnsi="Calibri" w:cs="Calibri"/>
          <w:color w:val="000000"/>
          <w:bdr w:val="none" w:sz="0" w:space="0" w:color="auto" w:frame="1"/>
        </w:rPr>
        <w:t>AffirmX</w:t>
      </w:r>
      <w:proofErr w:type="spellEnd"/>
      <w:r w:rsidRPr="007D03B3">
        <w:rPr>
          <w:rFonts w:ascii="Calibri" w:eastAsia="Times New Roman" w:hAnsi="Calibri" w:cs="Calibri"/>
          <w:color w:val="000000"/>
          <w:bdr w:val="none" w:sz="0" w:space="0" w:color="auto" w:frame="1"/>
        </w:rPr>
        <w:t xml:space="preserve"> to reduce costs and workloads for credit unions associated with regulatory compliance.  </w:t>
      </w:r>
      <w:proofErr w:type="spellStart"/>
      <w:r w:rsidRPr="007D03B3">
        <w:rPr>
          <w:rFonts w:ascii="Calibri" w:eastAsia="Times New Roman" w:hAnsi="Calibri" w:cs="Calibri"/>
          <w:color w:val="000000"/>
          <w:bdr w:val="none" w:sz="0" w:space="0" w:color="auto" w:frame="1"/>
        </w:rPr>
        <w:t>ComplySight</w:t>
      </w:r>
      <w:proofErr w:type="spellEnd"/>
      <w:r w:rsidRPr="007D03B3">
        <w:rPr>
          <w:rFonts w:ascii="Calibri" w:eastAsia="Times New Roman" w:hAnsi="Calibri" w:cs="Calibri"/>
          <w:color w:val="000000"/>
          <w:bdr w:val="none" w:sz="0" w:space="0" w:color="auto" w:frame="1"/>
        </w:rPr>
        <w:t xml:space="preserve"> helps credit unions navigate regulatory compliance through a combination of technology and other resources within the compliance management system and complaint management processes. CU Risk Intelligence also has an ownership interest in CU Vendor Management, which provides credit unions with cost-effective vendor management solutions to credit unions across the country. </w:t>
      </w:r>
    </w:p>
    <w:p w14:paraId="04607931" w14:textId="77777777" w:rsidR="007D03B3" w:rsidRPr="007D03B3" w:rsidRDefault="007D03B3" w:rsidP="007D03B3">
      <w:pPr>
        <w:textAlignment w:val="baseline"/>
        <w:rPr>
          <w:rFonts w:ascii="Times New Roman" w:eastAsia="Times New Roman" w:hAnsi="Times New Roman" w:cs="Times New Roman"/>
        </w:rPr>
      </w:pPr>
      <w:r w:rsidRPr="007D03B3">
        <w:rPr>
          <w:rFonts w:ascii="Calibri" w:eastAsia="Times New Roman" w:hAnsi="Calibri" w:cs="Calibri"/>
          <w:color w:val="000000"/>
          <w:bdr w:val="none" w:sz="0" w:space="0" w:color="auto" w:frame="1"/>
        </w:rPr>
        <w:t> </w:t>
      </w:r>
    </w:p>
    <w:p w14:paraId="04160D65" w14:textId="77777777" w:rsidR="007D03B3" w:rsidRPr="007D03B3" w:rsidRDefault="007D03B3" w:rsidP="007D03B3">
      <w:pPr>
        <w:textAlignment w:val="baseline"/>
        <w:rPr>
          <w:rFonts w:ascii="Times New Roman" w:eastAsia="Times New Roman" w:hAnsi="Times New Roman" w:cs="Times New Roman"/>
        </w:rPr>
      </w:pPr>
      <w:r w:rsidRPr="007D03B3">
        <w:rPr>
          <w:rFonts w:ascii="Calibri" w:eastAsia="Times New Roman" w:hAnsi="Calibri" w:cs="Calibri"/>
          <w:color w:val="000000"/>
          <w:bdr w:val="none" w:sz="0" w:space="0" w:color="auto" w:frame="1"/>
        </w:rPr>
        <w:t xml:space="preserve">League </w:t>
      </w:r>
      <w:proofErr w:type="spellStart"/>
      <w:r w:rsidRPr="007D03B3">
        <w:rPr>
          <w:rFonts w:ascii="Calibri" w:eastAsia="Times New Roman" w:hAnsi="Calibri" w:cs="Calibri"/>
          <w:color w:val="000000"/>
          <w:bdr w:val="none" w:sz="0" w:space="0" w:color="auto" w:frame="1"/>
        </w:rPr>
        <w:t>InfoSight</w:t>
      </w:r>
      <w:proofErr w:type="spellEnd"/>
      <w:r w:rsidRPr="007D03B3">
        <w:rPr>
          <w:rFonts w:ascii="Calibri" w:eastAsia="Times New Roman" w:hAnsi="Calibri" w:cs="Calibri"/>
          <w:color w:val="000000"/>
          <w:bdr w:val="none" w:sz="0" w:space="0" w:color="auto" w:frame="1"/>
        </w:rPr>
        <w:t xml:space="preserve"> is an alliance of credit union leagues and service corporations owned by the Maine Credit Union League, Michigan Credit Union League, Ohio Credit Union League, League of Southeastern Credit Unions, Maryland &amp; DC Credit Union Association, Cornerstone Credit Union League, Illinois Credit Union League, Cooperative Credit Union Association, Credit Union Association of New York, California &amp; Nevada Credit Union Leagues, </w:t>
      </w:r>
      <w:proofErr w:type="spellStart"/>
      <w:r w:rsidRPr="007D03B3">
        <w:rPr>
          <w:rFonts w:ascii="Calibri" w:eastAsia="Times New Roman" w:hAnsi="Calibri" w:cs="Calibri"/>
          <w:color w:val="000000"/>
          <w:bdr w:val="none" w:sz="0" w:space="0" w:color="auto" w:frame="1"/>
        </w:rPr>
        <w:t>GoWest</w:t>
      </w:r>
      <w:proofErr w:type="spellEnd"/>
      <w:r w:rsidRPr="007D03B3">
        <w:rPr>
          <w:rFonts w:ascii="Calibri" w:eastAsia="Times New Roman" w:hAnsi="Calibri" w:cs="Calibri"/>
          <w:color w:val="000000"/>
          <w:bdr w:val="none" w:sz="0" w:space="0" w:color="auto" w:frame="1"/>
        </w:rPr>
        <w:t xml:space="preserve"> Credit Union Association, </w:t>
      </w:r>
      <w:proofErr w:type="spellStart"/>
      <w:r w:rsidRPr="007D03B3">
        <w:rPr>
          <w:rFonts w:ascii="Calibri" w:eastAsia="Times New Roman" w:hAnsi="Calibri" w:cs="Calibri"/>
          <w:color w:val="000000"/>
          <w:bdr w:val="none" w:sz="0" w:space="0" w:color="auto" w:frame="1"/>
        </w:rPr>
        <w:t>CrossState</w:t>
      </w:r>
      <w:proofErr w:type="spellEnd"/>
      <w:r w:rsidRPr="007D03B3">
        <w:rPr>
          <w:rFonts w:ascii="Calibri" w:eastAsia="Times New Roman" w:hAnsi="Calibri" w:cs="Calibri"/>
          <w:color w:val="000000"/>
          <w:bdr w:val="none" w:sz="0" w:space="0" w:color="auto" w:frame="1"/>
        </w:rPr>
        <w:t xml:space="preserve"> Credit Union Association and the Iowa Credit Union League.  League </w:t>
      </w:r>
      <w:proofErr w:type="spellStart"/>
      <w:r w:rsidRPr="007D03B3">
        <w:rPr>
          <w:rFonts w:ascii="Calibri" w:eastAsia="Times New Roman" w:hAnsi="Calibri" w:cs="Calibri"/>
          <w:color w:val="000000"/>
          <w:bdr w:val="none" w:sz="0" w:space="0" w:color="auto" w:frame="1"/>
        </w:rPr>
        <w:lastRenderedPageBreak/>
        <w:t>InfoSight</w:t>
      </w:r>
      <w:proofErr w:type="spellEnd"/>
      <w:r w:rsidRPr="007D03B3">
        <w:rPr>
          <w:rFonts w:ascii="Calibri" w:eastAsia="Times New Roman" w:hAnsi="Calibri" w:cs="Calibri"/>
          <w:color w:val="000000"/>
          <w:bdr w:val="none" w:sz="0" w:space="0" w:color="auto" w:frame="1"/>
        </w:rPr>
        <w:t xml:space="preserve"> provides credit unions, through their Leagues/Associations, with access </w:t>
      </w:r>
      <w:proofErr w:type="spellStart"/>
      <w:r w:rsidRPr="007D03B3">
        <w:rPr>
          <w:rFonts w:ascii="Calibri" w:eastAsia="Times New Roman" w:hAnsi="Calibri" w:cs="Calibri"/>
          <w:color w:val="000000"/>
          <w:bdr w:val="none" w:sz="0" w:space="0" w:color="auto" w:frame="1"/>
        </w:rPr>
        <w:t>InfoSight</w:t>
      </w:r>
      <w:proofErr w:type="spellEnd"/>
      <w:r w:rsidRPr="007D03B3">
        <w:rPr>
          <w:rFonts w:ascii="Calibri" w:eastAsia="Times New Roman" w:hAnsi="Calibri" w:cs="Calibri"/>
          <w:color w:val="000000"/>
          <w:bdr w:val="none" w:sz="0" w:space="0" w:color="auto" w:frame="1"/>
        </w:rPr>
        <w:t xml:space="preserve"> and CU </w:t>
      </w:r>
      <w:proofErr w:type="spellStart"/>
      <w:r w:rsidRPr="007D03B3">
        <w:rPr>
          <w:rFonts w:ascii="Calibri" w:eastAsia="Times New Roman" w:hAnsi="Calibri" w:cs="Calibri"/>
          <w:color w:val="000000"/>
          <w:bdr w:val="none" w:sz="0" w:space="0" w:color="auto" w:frame="1"/>
        </w:rPr>
        <w:t>PolicyPro</w:t>
      </w:r>
      <w:proofErr w:type="spellEnd"/>
      <w:r w:rsidRPr="007D03B3">
        <w:rPr>
          <w:rFonts w:ascii="Calibri" w:eastAsia="Times New Roman" w:hAnsi="Calibri" w:cs="Calibri"/>
          <w:color w:val="000000"/>
          <w:bdr w:val="none" w:sz="0" w:space="0" w:color="auto" w:frame="1"/>
        </w:rPr>
        <w:t>.  Both resources provide credit unions with information, frequently asked questions, checklists, model policies, and procedures to assist credit unions in navigating an evolving and growing regulatory environment.  </w:t>
      </w:r>
      <w:proofErr w:type="spellStart"/>
      <w:r w:rsidRPr="007D03B3">
        <w:rPr>
          <w:rFonts w:ascii="Calibri" w:eastAsia="Times New Roman" w:hAnsi="Calibri" w:cs="Calibri"/>
          <w:color w:val="000000"/>
          <w:bdr w:val="none" w:sz="0" w:space="0" w:color="auto" w:frame="1"/>
        </w:rPr>
        <w:t>RecoveryPro</w:t>
      </w:r>
      <w:proofErr w:type="spellEnd"/>
      <w:r w:rsidRPr="007D03B3">
        <w:rPr>
          <w:rFonts w:ascii="Calibri" w:eastAsia="Times New Roman" w:hAnsi="Calibri" w:cs="Calibri"/>
          <w:color w:val="000000"/>
          <w:bdr w:val="none" w:sz="0" w:space="0" w:color="auto" w:frame="1"/>
        </w:rPr>
        <w:t xml:space="preserve"> is also a product of League </w:t>
      </w:r>
      <w:proofErr w:type="spellStart"/>
      <w:r w:rsidRPr="007D03B3">
        <w:rPr>
          <w:rFonts w:ascii="Calibri" w:eastAsia="Times New Roman" w:hAnsi="Calibri" w:cs="Calibri"/>
          <w:color w:val="000000"/>
          <w:bdr w:val="none" w:sz="0" w:space="0" w:color="auto" w:frame="1"/>
        </w:rPr>
        <w:t>InfoSight</w:t>
      </w:r>
      <w:proofErr w:type="spellEnd"/>
      <w:r w:rsidRPr="007D03B3">
        <w:rPr>
          <w:rFonts w:ascii="Calibri" w:eastAsia="Times New Roman" w:hAnsi="Calibri" w:cs="Calibri"/>
          <w:color w:val="000000"/>
          <w:bdr w:val="none" w:sz="0" w:space="0" w:color="auto" w:frame="1"/>
        </w:rPr>
        <w:t>, providing credit unions with an affordable tool to assist with business continuity planning.</w:t>
      </w:r>
    </w:p>
    <w:p w14:paraId="5D0C7ED5" w14:textId="77777777" w:rsidR="007D03B3" w:rsidRPr="007D03B3" w:rsidRDefault="007D03B3" w:rsidP="007D03B3">
      <w:pPr>
        <w:textAlignment w:val="baseline"/>
        <w:rPr>
          <w:rFonts w:ascii="Times New Roman" w:eastAsia="Times New Roman" w:hAnsi="Times New Roman" w:cs="Times New Roman"/>
        </w:rPr>
      </w:pPr>
      <w:r w:rsidRPr="007D03B3">
        <w:rPr>
          <w:rFonts w:ascii="Calibri" w:eastAsia="Times New Roman" w:hAnsi="Calibri" w:cs="Calibri"/>
          <w:color w:val="000000"/>
          <w:bdr w:val="none" w:sz="0" w:space="0" w:color="auto" w:frame="1"/>
        </w:rPr>
        <w:t>   </w:t>
      </w:r>
    </w:p>
    <w:p w14:paraId="6A828878" w14:textId="5585D3FD" w:rsidR="007D03B3" w:rsidRPr="007D03B3" w:rsidRDefault="007D03B3" w:rsidP="007D03B3">
      <w:pPr>
        <w:textAlignment w:val="baseline"/>
        <w:rPr>
          <w:rFonts w:ascii="Times New Roman" w:eastAsia="Times New Roman" w:hAnsi="Times New Roman" w:cs="Times New Roman"/>
        </w:rPr>
      </w:pPr>
      <w:proofErr w:type="spellStart"/>
      <w:r w:rsidRPr="007D03B3">
        <w:rPr>
          <w:rFonts w:ascii="Calibri" w:eastAsia="Times New Roman" w:hAnsi="Calibri" w:cs="Calibri"/>
          <w:color w:val="000000"/>
          <w:bdr w:val="none" w:sz="0" w:space="0" w:color="auto" w:frame="1"/>
        </w:rPr>
        <w:t>LeDu</w:t>
      </w:r>
      <w:proofErr w:type="spellEnd"/>
      <w:r w:rsidRPr="007D03B3">
        <w:rPr>
          <w:rFonts w:ascii="Calibri" w:eastAsia="Times New Roman" w:hAnsi="Calibri" w:cs="Calibri"/>
          <w:color w:val="000000"/>
          <w:bdr w:val="none" w:sz="0" w:space="0" w:color="auto" w:frame="1"/>
        </w:rPr>
        <w:t xml:space="preserve"> is thankful and thrilled to be allowed to lead both CU Risk Intelligence and League </w:t>
      </w:r>
      <w:proofErr w:type="spellStart"/>
      <w:r w:rsidRPr="007D03B3">
        <w:rPr>
          <w:rFonts w:ascii="Calibri" w:eastAsia="Times New Roman" w:hAnsi="Calibri" w:cs="Calibri"/>
          <w:color w:val="000000"/>
          <w:bdr w:val="none" w:sz="0" w:space="0" w:color="auto" w:frame="1"/>
        </w:rPr>
        <w:t>InfoSight</w:t>
      </w:r>
      <w:proofErr w:type="spellEnd"/>
      <w:r w:rsidRPr="007D03B3">
        <w:rPr>
          <w:rFonts w:ascii="Calibri" w:eastAsia="Times New Roman" w:hAnsi="Calibri" w:cs="Calibri"/>
          <w:color w:val="000000"/>
          <w:bdr w:val="none" w:sz="0" w:space="0" w:color="auto" w:frame="1"/>
        </w:rPr>
        <w:t>. </w:t>
      </w:r>
      <w:proofErr w:type="spellStart"/>
      <w:r w:rsidRPr="007D03B3">
        <w:rPr>
          <w:rFonts w:ascii="Calibri" w:eastAsia="Times New Roman" w:hAnsi="Calibri" w:cs="Calibri"/>
          <w:color w:val="000000"/>
          <w:bdr w:val="none" w:sz="0" w:space="0" w:color="auto" w:frame="1"/>
        </w:rPr>
        <w:t>LeDu</w:t>
      </w:r>
      <w:proofErr w:type="spellEnd"/>
      <w:r w:rsidRPr="007D03B3">
        <w:rPr>
          <w:rFonts w:ascii="Calibri" w:eastAsia="Times New Roman" w:hAnsi="Calibri" w:cs="Calibri"/>
          <w:color w:val="000000"/>
          <w:bdr w:val="none" w:sz="0" w:space="0" w:color="auto" w:frame="1"/>
        </w:rPr>
        <w:t xml:space="preserve"> stated that “both companies have the same goal of working collaboratively to provide the best and most affordable solutions to member credit unions.  That collaborative mindset allows the organizations to share talent and leverage resources to strengthen the value of offerings for credit unions nationwide!  CU Risk Intelligence and League </w:t>
      </w:r>
      <w:proofErr w:type="spellStart"/>
      <w:r w:rsidRPr="007D03B3">
        <w:rPr>
          <w:rFonts w:ascii="Calibri" w:eastAsia="Times New Roman" w:hAnsi="Calibri" w:cs="Calibri"/>
          <w:color w:val="000000"/>
          <w:bdr w:val="none" w:sz="0" w:space="0" w:color="auto" w:frame="1"/>
        </w:rPr>
        <w:t>InfoSight</w:t>
      </w:r>
      <w:proofErr w:type="spellEnd"/>
      <w:r w:rsidRPr="007D03B3">
        <w:rPr>
          <w:rFonts w:ascii="Calibri" w:eastAsia="Times New Roman" w:hAnsi="Calibri" w:cs="Calibri"/>
          <w:color w:val="000000"/>
          <w:bdr w:val="none" w:sz="0" w:space="0" w:color="auto" w:frame="1"/>
        </w:rPr>
        <w:t xml:space="preserve"> have credit union clients in every state.  We are eager to dive deeper to strengthen our synergies, resources, and alliances to assist credit unions better and provide more tools and comprehensive resources!” </w:t>
      </w:r>
      <w:r w:rsidRPr="007D03B3">
        <w:rPr>
          <w:rFonts w:ascii="Calibri" w:eastAsia="Times New Roman" w:hAnsi="Calibri" w:cs="Calibri"/>
          <w:color w:val="000000"/>
          <w:bdr w:val="none" w:sz="0" w:space="0" w:color="auto" w:frame="1"/>
        </w:rPr>
        <w:br/>
      </w:r>
    </w:p>
    <w:p w14:paraId="0318175E" w14:textId="6E3DD79F" w:rsidR="007D03B3" w:rsidRPr="007D03B3" w:rsidRDefault="007D03B3" w:rsidP="007D03B3">
      <w:pPr>
        <w:textAlignment w:val="baseline"/>
        <w:rPr>
          <w:rFonts w:ascii="Times New Roman" w:eastAsia="Times New Roman" w:hAnsi="Times New Roman" w:cs="Times New Roman"/>
        </w:rPr>
      </w:pPr>
      <w:r w:rsidRPr="007D03B3">
        <w:rPr>
          <w:rFonts w:ascii="Calibri" w:eastAsia="Times New Roman" w:hAnsi="Calibri" w:cs="Calibri"/>
          <w:color w:val="000000"/>
          <w:bdr w:val="none" w:sz="0" w:space="0" w:color="auto" w:frame="1"/>
        </w:rPr>
        <w:t>For more information, visit </w:t>
      </w:r>
      <w:hyperlink r:id="rId4" w:history="1">
        <w:r w:rsidRPr="007D03B3">
          <w:rPr>
            <w:rFonts w:ascii="Calibri" w:eastAsia="Times New Roman" w:hAnsi="Calibri" w:cs="Calibri"/>
            <w:color w:val="0000FF"/>
            <w:u w:val="single"/>
            <w:bdr w:val="none" w:sz="0" w:space="0" w:color="auto" w:frame="1"/>
          </w:rPr>
          <w:t>CURiskIntelligence.com</w:t>
        </w:r>
      </w:hyperlink>
      <w:r w:rsidRPr="007D03B3">
        <w:rPr>
          <w:rFonts w:ascii="Calibri" w:eastAsia="Times New Roman" w:hAnsi="Calibri" w:cs="Calibri"/>
          <w:color w:val="000000"/>
          <w:bdr w:val="none" w:sz="0" w:space="0" w:color="auto" w:frame="1"/>
        </w:rPr>
        <w:t>, </w:t>
      </w:r>
      <w:hyperlink r:id="rId5" w:history="1">
        <w:r w:rsidRPr="007D03B3">
          <w:rPr>
            <w:rFonts w:ascii="Calibri" w:eastAsia="Times New Roman" w:hAnsi="Calibri" w:cs="Calibri"/>
            <w:color w:val="0000FF"/>
            <w:u w:val="single"/>
            <w:bdr w:val="none" w:sz="0" w:space="0" w:color="auto" w:frame="1"/>
          </w:rPr>
          <w:t>LeagueInfoSight.com</w:t>
        </w:r>
      </w:hyperlink>
      <w:r w:rsidRPr="007D03B3">
        <w:rPr>
          <w:rFonts w:ascii="Times New Roman" w:eastAsia="Times New Roman" w:hAnsi="Times New Roman" w:cs="Times New Roman"/>
        </w:rPr>
        <w:t>,</w:t>
      </w:r>
      <w:r w:rsidRPr="007D03B3">
        <w:rPr>
          <w:rFonts w:ascii="Calibri" w:eastAsia="Times New Roman" w:hAnsi="Calibri" w:cs="Calibri"/>
          <w:color w:val="000000"/>
          <w:bdr w:val="none" w:sz="0" w:space="0" w:color="auto" w:frame="1"/>
        </w:rPr>
        <w:t> and </w:t>
      </w:r>
      <w:hyperlink r:id="rId6" w:history="1">
        <w:r w:rsidRPr="007D03B3">
          <w:rPr>
            <w:rFonts w:ascii="Calibri" w:eastAsia="Times New Roman" w:hAnsi="Calibri" w:cs="Calibri"/>
            <w:color w:val="0000FF"/>
            <w:u w:val="single"/>
            <w:bdr w:val="none" w:sz="0" w:space="0" w:color="auto" w:frame="1"/>
          </w:rPr>
          <w:t>CUVM.org</w:t>
        </w:r>
      </w:hyperlink>
      <w:r w:rsidRPr="007D03B3">
        <w:rPr>
          <w:rFonts w:ascii="Calibri" w:eastAsia="Times New Roman" w:hAnsi="Calibri" w:cs="Calibri"/>
          <w:color w:val="000000"/>
          <w:bdr w:val="none" w:sz="0" w:space="0" w:color="auto" w:frame="1"/>
        </w:rPr>
        <w:t>. </w:t>
      </w:r>
      <w:r w:rsidRPr="007D03B3">
        <w:rPr>
          <w:rFonts w:ascii="Calibri" w:eastAsia="Times New Roman" w:hAnsi="Calibri" w:cs="Calibri"/>
          <w:color w:val="000000"/>
          <w:bdr w:val="none" w:sz="0" w:space="0" w:color="auto" w:frame="1"/>
        </w:rPr>
        <w:br/>
      </w:r>
    </w:p>
    <w:p w14:paraId="4E451A35" w14:textId="77777777" w:rsidR="007D03B3" w:rsidRPr="007D03B3" w:rsidRDefault="007D03B3" w:rsidP="007D03B3">
      <w:pPr>
        <w:textAlignment w:val="baseline"/>
        <w:rPr>
          <w:rFonts w:ascii="Times New Roman" w:eastAsia="Times New Roman" w:hAnsi="Times New Roman" w:cs="Times New Roman"/>
        </w:rPr>
      </w:pPr>
      <w:r w:rsidRPr="007D03B3">
        <w:rPr>
          <w:rFonts w:ascii="Calibri" w:eastAsia="Times New Roman" w:hAnsi="Calibri" w:cs="Calibri"/>
          <w:color w:val="000000"/>
          <w:bdr w:val="none" w:sz="0" w:space="0" w:color="auto" w:frame="1"/>
        </w:rPr>
        <w:t>###</w:t>
      </w:r>
    </w:p>
    <w:p w14:paraId="4C0B51C6" w14:textId="27832C0E" w:rsidR="007D03B3" w:rsidRPr="007D03B3" w:rsidRDefault="007D03B3" w:rsidP="007D03B3">
      <w:pPr>
        <w:textAlignment w:val="baseline"/>
        <w:rPr>
          <w:rFonts w:ascii="Times New Roman" w:eastAsia="Times New Roman" w:hAnsi="Times New Roman" w:cs="Times New Roman"/>
        </w:rPr>
      </w:pPr>
    </w:p>
    <w:p w14:paraId="694D06B3" w14:textId="77777777" w:rsidR="007D03B3" w:rsidRPr="007D03B3" w:rsidRDefault="007D03B3" w:rsidP="007D03B3">
      <w:pPr>
        <w:textAlignment w:val="baseline"/>
        <w:rPr>
          <w:rFonts w:ascii="Times New Roman" w:eastAsia="Times New Roman" w:hAnsi="Times New Roman" w:cs="Times New Roman"/>
        </w:rPr>
      </w:pPr>
      <w:r w:rsidRPr="007D03B3">
        <w:rPr>
          <w:rFonts w:ascii="Calibri" w:eastAsia="Times New Roman" w:hAnsi="Calibri" w:cs="Calibri"/>
          <w:b/>
          <w:bCs/>
        </w:rPr>
        <w:t>ABOUT CU RISK INTELLIGENCE</w:t>
      </w:r>
    </w:p>
    <w:p w14:paraId="4B06DED6" w14:textId="77777777" w:rsidR="007D03B3" w:rsidRPr="007D03B3" w:rsidRDefault="007D03B3" w:rsidP="007D03B3">
      <w:pPr>
        <w:textAlignment w:val="baseline"/>
        <w:rPr>
          <w:rFonts w:ascii="Calibri" w:eastAsia="Times New Roman" w:hAnsi="Calibri" w:cs="Calibri"/>
          <w:color w:val="000000"/>
        </w:rPr>
      </w:pPr>
    </w:p>
    <w:p w14:paraId="619FA177" w14:textId="77777777" w:rsidR="007D03B3" w:rsidRPr="007D03B3" w:rsidRDefault="007D03B3" w:rsidP="007D03B3">
      <w:pPr>
        <w:textAlignment w:val="baseline"/>
        <w:rPr>
          <w:rFonts w:ascii="Times New Roman" w:eastAsia="Times New Roman" w:hAnsi="Times New Roman" w:cs="Times New Roman"/>
        </w:rPr>
      </w:pPr>
      <w:r w:rsidRPr="007D03B3">
        <w:rPr>
          <w:rFonts w:ascii="Calibri" w:eastAsia="Times New Roman" w:hAnsi="Calibri" w:cs="Calibri"/>
          <w:color w:val="000000"/>
          <w:bdr w:val="none" w:sz="0" w:space="0" w:color="auto" w:frame="1"/>
        </w:rPr>
        <w:t xml:space="preserve">CU Risk Intelligence is a consortium of credit union leagues and credit union service organizations including CU Solutions Group, Cornerstone Resources, </w:t>
      </w:r>
      <w:proofErr w:type="spellStart"/>
      <w:r w:rsidRPr="007D03B3">
        <w:rPr>
          <w:rFonts w:ascii="Calibri" w:eastAsia="Times New Roman" w:hAnsi="Calibri" w:cs="Calibri"/>
          <w:color w:val="000000"/>
          <w:bdr w:val="none" w:sz="0" w:space="0" w:color="auto" w:frame="1"/>
        </w:rPr>
        <w:t>GoWest</w:t>
      </w:r>
      <w:proofErr w:type="spellEnd"/>
      <w:r w:rsidRPr="007D03B3">
        <w:rPr>
          <w:rFonts w:ascii="Calibri" w:eastAsia="Times New Roman" w:hAnsi="Calibri" w:cs="Calibri"/>
          <w:color w:val="000000"/>
          <w:bdr w:val="none" w:sz="0" w:space="0" w:color="auto" w:frame="1"/>
        </w:rPr>
        <w:t xml:space="preserve"> Credit Union Association, Indiana Credit Union League, League of Southeastern Credit Unions, Credit Union League of Connecticut, Maryland &amp; DC Credit Union Association, and League </w:t>
      </w:r>
      <w:proofErr w:type="spellStart"/>
      <w:r w:rsidRPr="007D03B3">
        <w:rPr>
          <w:rFonts w:ascii="Calibri" w:eastAsia="Times New Roman" w:hAnsi="Calibri" w:cs="Calibri"/>
          <w:color w:val="000000"/>
          <w:bdr w:val="none" w:sz="0" w:space="0" w:color="auto" w:frame="1"/>
        </w:rPr>
        <w:t>InfoSight</w:t>
      </w:r>
      <w:proofErr w:type="spellEnd"/>
      <w:r w:rsidRPr="007D03B3">
        <w:rPr>
          <w:rFonts w:ascii="Calibri" w:eastAsia="Times New Roman" w:hAnsi="Calibri" w:cs="Calibri"/>
          <w:color w:val="000000"/>
          <w:bdr w:val="none" w:sz="0" w:space="0" w:color="auto" w:frame="1"/>
        </w:rPr>
        <w:t>. Combining the knowledge and expertise of industry leaders, CU Risk Intelligence's approach to governance, risk, and compliance (GRC) management provides affordable solutions to credit unions of all sizes and sophistication.  With countless years of combined experience and a broad range of expertise, our solutions are continuously innovated by credit unions, for credit unions, in direct response to the pain points and challenges facing today’s financial services industry. </w:t>
      </w:r>
    </w:p>
    <w:p w14:paraId="44023762" w14:textId="77777777" w:rsidR="007D03B3" w:rsidRPr="007D03B3" w:rsidRDefault="007D03B3" w:rsidP="007D03B3">
      <w:pPr>
        <w:textAlignment w:val="baseline"/>
        <w:rPr>
          <w:rFonts w:ascii="Calibri" w:eastAsia="Times New Roman" w:hAnsi="Calibri" w:cs="Calibri"/>
          <w:color w:val="000000"/>
        </w:rPr>
      </w:pPr>
    </w:p>
    <w:p w14:paraId="24138CAF" w14:textId="77777777" w:rsidR="007D03B3" w:rsidRPr="007D03B3" w:rsidRDefault="007D03B3" w:rsidP="007D03B3">
      <w:pPr>
        <w:textAlignment w:val="baseline"/>
        <w:rPr>
          <w:rFonts w:ascii="Calibri" w:eastAsia="Times New Roman" w:hAnsi="Calibri" w:cs="Calibri"/>
          <w:color w:val="000000"/>
        </w:rPr>
      </w:pPr>
      <w:r w:rsidRPr="007D03B3">
        <w:rPr>
          <w:rFonts w:ascii="Calibri" w:eastAsia="Times New Roman" w:hAnsi="Calibri" w:cs="Calibri"/>
          <w:b/>
          <w:bCs/>
          <w:color w:val="000000"/>
          <w:bdr w:val="none" w:sz="0" w:space="0" w:color="auto" w:frame="1"/>
        </w:rPr>
        <w:t>Media Contact</w:t>
      </w:r>
    </w:p>
    <w:p w14:paraId="1D08E680" w14:textId="77777777" w:rsidR="007D03B3" w:rsidRPr="007D03B3" w:rsidRDefault="007D03B3" w:rsidP="007D03B3">
      <w:pPr>
        <w:textAlignment w:val="baseline"/>
        <w:rPr>
          <w:rFonts w:ascii="Times New Roman" w:eastAsia="Times New Roman" w:hAnsi="Times New Roman" w:cs="Times New Roman"/>
        </w:rPr>
      </w:pPr>
      <w:r w:rsidRPr="007D03B3">
        <w:rPr>
          <w:rFonts w:ascii="Calibri" w:eastAsia="Times New Roman" w:hAnsi="Calibri" w:cs="Calibri"/>
          <w:color w:val="000000"/>
          <w:bdr w:val="none" w:sz="0" w:space="0" w:color="auto" w:frame="1"/>
        </w:rPr>
        <w:t>Nick Olexa, Vice President of Marketing, CU Solutions Group, on behalf of CURI</w:t>
      </w:r>
    </w:p>
    <w:p w14:paraId="797F7691" w14:textId="77777777" w:rsidR="007D03B3" w:rsidRPr="007D03B3" w:rsidRDefault="007D03B3" w:rsidP="007D03B3">
      <w:pPr>
        <w:textAlignment w:val="baseline"/>
        <w:rPr>
          <w:rFonts w:ascii="Times New Roman" w:eastAsia="Times New Roman" w:hAnsi="Times New Roman" w:cs="Times New Roman"/>
        </w:rPr>
      </w:pPr>
      <w:r w:rsidRPr="007D03B3">
        <w:rPr>
          <w:rFonts w:ascii="Calibri" w:eastAsia="Times New Roman" w:hAnsi="Calibri" w:cs="Calibri"/>
          <w:color w:val="000000"/>
          <w:bdr w:val="none" w:sz="0" w:space="0" w:color="auto" w:frame="1"/>
        </w:rPr>
        <w:t>Nick.Olexa@CUSolutionsGroup.com</w:t>
      </w:r>
    </w:p>
    <w:p w14:paraId="29F4901D" w14:textId="77777777" w:rsidR="007D03B3" w:rsidRPr="007D03B3" w:rsidRDefault="007D03B3" w:rsidP="007D03B3">
      <w:pPr>
        <w:textAlignment w:val="baseline"/>
        <w:rPr>
          <w:rFonts w:ascii="Times New Roman" w:eastAsia="Times New Roman" w:hAnsi="Times New Roman" w:cs="Times New Roman"/>
        </w:rPr>
      </w:pPr>
      <w:r w:rsidRPr="007D03B3">
        <w:rPr>
          <w:rFonts w:ascii="Calibri" w:eastAsia="Times New Roman" w:hAnsi="Calibri" w:cs="Calibri"/>
          <w:b/>
          <w:bCs/>
          <w:color w:val="000000"/>
          <w:bdr w:val="none" w:sz="0" w:space="0" w:color="auto" w:frame="1"/>
        </w:rPr>
        <w:br/>
      </w:r>
    </w:p>
    <w:p w14:paraId="264970B1" w14:textId="77777777" w:rsidR="007D03B3" w:rsidRPr="007D03B3" w:rsidRDefault="007D03B3" w:rsidP="007D03B3">
      <w:pPr>
        <w:textAlignment w:val="baseline"/>
        <w:rPr>
          <w:rFonts w:ascii="Times New Roman" w:eastAsia="Times New Roman" w:hAnsi="Times New Roman" w:cs="Times New Roman"/>
        </w:rPr>
      </w:pPr>
      <w:r w:rsidRPr="007D03B3">
        <w:rPr>
          <w:rFonts w:ascii="Calibri" w:eastAsia="Times New Roman" w:hAnsi="Calibri" w:cs="Calibri"/>
          <w:color w:val="000000"/>
          <w:bdr w:val="none" w:sz="0" w:space="0" w:color="auto" w:frame="1"/>
        </w:rPr>
        <w:t> </w:t>
      </w:r>
    </w:p>
    <w:p w14:paraId="6A750D11" w14:textId="77777777" w:rsidR="007D03B3" w:rsidRPr="007D03B3" w:rsidRDefault="007D03B3" w:rsidP="007D03B3">
      <w:pPr>
        <w:textAlignment w:val="baseline"/>
        <w:rPr>
          <w:rFonts w:ascii="Calibri" w:eastAsia="Times New Roman" w:hAnsi="Calibri" w:cs="Calibri"/>
          <w:color w:val="000000"/>
        </w:rPr>
      </w:pPr>
    </w:p>
    <w:p w14:paraId="1B6E55FC" w14:textId="77777777" w:rsidR="00380EC1" w:rsidRDefault="00380EC1"/>
    <w:sectPr w:rsidR="00380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B3"/>
    <w:rsid w:val="00380EC1"/>
    <w:rsid w:val="007D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20BC52"/>
  <w15:chartTrackingRefBased/>
  <w15:docId w15:val="{C652470E-C763-8F4B-85B3-27C418A3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048530">
      <w:bodyDiv w:val="1"/>
      <w:marLeft w:val="0"/>
      <w:marRight w:val="0"/>
      <w:marTop w:val="0"/>
      <w:marBottom w:val="0"/>
      <w:divBdr>
        <w:top w:val="none" w:sz="0" w:space="0" w:color="auto"/>
        <w:left w:val="none" w:sz="0" w:space="0" w:color="auto"/>
        <w:bottom w:val="none" w:sz="0" w:space="0" w:color="auto"/>
        <w:right w:val="none" w:sz="0" w:space="0" w:color="auto"/>
      </w:divBdr>
      <w:divsChild>
        <w:div w:id="1589122192">
          <w:marLeft w:val="0"/>
          <w:marRight w:val="0"/>
          <w:marTop w:val="0"/>
          <w:marBottom w:val="0"/>
          <w:divBdr>
            <w:top w:val="none" w:sz="0" w:space="0" w:color="auto"/>
            <w:left w:val="none" w:sz="0" w:space="0" w:color="auto"/>
            <w:bottom w:val="none" w:sz="0" w:space="0" w:color="auto"/>
            <w:right w:val="none" w:sz="0" w:space="0" w:color="auto"/>
          </w:divBdr>
          <w:divsChild>
            <w:div w:id="518011397">
              <w:marLeft w:val="0"/>
              <w:marRight w:val="0"/>
              <w:marTop w:val="0"/>
              <w:marBottom w:val="160"/>
              <w:divBdr>
                <w:top w:val="none" w:sz="0" w:space="0" w:color="auto"/>
                <w:left w:val="none" w:sz="0" w:space="0" w:color="auto"/>
                <w:bottom w:val="none" w:sz="0" w:space="0" w:color="auto"/>
                <w:right w:val="none" w:sz="0" w:space="0" w:color="auto"/>
              </w:divBdr>
            </w:div>
          </w:divsChild>
        </w:div>
        <w:div w:id="1619069142">
          <w:marLeft w:val="0"/>
          <w:marRight w:val="0"/>
          <w:marTop w:val="0"/>
          <w:marBottom w:val="0"/>
          <w:divBdr>
            <w:top w:val="none" w:sz="0" w:space="0" w:color="auto"/>
            <w:left w:val="none" w:sz="0" w:space="0" w:color="auto"/>
            <w:bottom w:val="none" w:sz="0" w:space="0" w:color="auto"/>
            <w:right w:val="none" w:sz="0" w:space="0" w:color="auto"/>
          </w:divBdr>
        </w:div>
        <w:div w:id="1953975649">
          <w:marLeft w:val="0"/>
          <w:marRight w:val="0"/>
          <w:marTop w:val="0"/>
          <w:marBottom w:val="0"/>
          <w:divBdr>
            <w:top w:val="none" w:sz="0" w:space="0" w:color="auto"/>
            <w:left w:val="none" w:sz="0" w:space="0" w:color="auto"/>
            <w:bottom w:val="none" w:sz="0" w:space="0" w:color="auto"/>
            <w:right w:val="none" w:sz="0" w:space="0" w:color="auto"/>
          </w:divBdr>
        </w:div>
        <w:div w:id="575824102">
          <w:marLeft w:val="0"/>
          <w:marRight w:val="0"/>
          <w:marTop w:val="0"/>
          <w:marBottom w:val="0"/>
          <w:divBdr>
            <w:top w:val="none" w:sz="0" w:space="0" w:color="auto"/>
            <w:left w:val="none" w:sz="0" w:space="0" w:color="auto"/>
            <w:bottom w:val="none" w:sz="0" w:space="0" w:color="auto"/>
            <w:right w:val="none" w:sz="0" w:space="0" w:color="auto"/>
          </w:divBdr>
        </w:div>
        <w:div w:id="96104212">
          <w:marLeft w:val="0"/>
          <w:marRight w:val="0"/>
          <w:marTop w:val="0"/>
          <w:marBottom w:val="0"/>
          <w:divBdr>
            <w:top w:val="none" w:sz="0" w:space="0" w:color="auto"/>
            <w:left w:val="none" w:sz="0" w:space="0" w:color="auto"/>
            <w:bottom w:val="none" w:sz="0" w:space="0" w:color="auto"/>
            <w:right w:val="none" w:sz="0" w:space="0" w:color="auto"/>
          </w:divBdr>
        </w:div>
        <w:div w:id="21519927">
          <w:marLeft w:val="0"/>
          <w:marRight w:val="0"/>
          <w:marTop w:val="0"/>
          <w:marBottom w:val="0"/>
          <w:divBdr>
            <w:top w:val="none" w:sz="0" w:space="0" w:color="auto"/>
            <w:left w:val="none" w:sz="0" w:space="0" w:color="auto"/>
            <w:bottom w:val="none" w:sz="0" w:space="0" w:color="auto"/>
            <w:right w:val="none" w:sz="0" w:space="0" w:color="auto"/>
          </w:divBdr>
        </w:div>
        <w:div w:id="1996714712">
          <w:marLeft w:val="0"/>
          <w:marRight w:val="0"/>
          <w:marTop w:val="0"/>
          <w:marBottom w:val="0"/>
          <w:divBdr>
            <w:top w:val="none" w:sz="0" w:space="0" w:color="auto"/>
            <w:left w:val="none" w:sz="0" w:space="0" w:color="auto"/>
            <w:bottom w:val="none" w:sz="0" w:space="0" w:color="auto"/>
            <w:right w:val="none" w:sz="0" w:space="0" w:color="auto"/>
          </w:divBdr>
        </w:div>
        <w:div w:id="1910769478">
          <w:marLeft w:val="0"/>
          <w:marRight w:val="0"/>
          <w:marTop w:val="0"/>
          <w:marBottom w:val="0"/>
          <w:divBdr>
            <w:top w:val="none" w:sz="0" w:space="0" w:color="auto"/>
            <w:left w:val="none" w:sz="0" w:space="0" w:color="auto"/>
            <w:bottom w:val="none" w:sz="0" w:space="0" w:color="auto"/>
            <w:right w:val="none" w:sz="0" w:space="0" w:color="auto"/>
          </w:divBdr>
        </w:div>
        <w:div w:id="157115267">
          <w:marLeft w:val="0"/>
          <w:marRight w:val="0"/>
          <w:marTop w:val="0"/>
          <w:marBottom w:val="0"/>
          <w:divBdr>
            <w:top w:val="none" w:sz="0" w:space="0" w:color="auto"/>
            <w:left w:val="none" w:sz="0" w:space="0" w:color="auto"/>
            <w:bottom w:val="none" w:sz="0" w:space="0" w:color="auto"/>
            <w:right w:val="none" w:sz="0" w:space="0" w:color="auto"/>
          </w:divBdr>
        </w:div>
        <w:div w:id="1337612592">
          <w:marLeft w:val="0"/>
          <w:marRight w:val="0"/>
          <w:marTop w:val="0"/>
          <w:marBottom w:val="0"/>
          <w:divBdr>
            <w:top w:val="none" w:sz="0" w:space="0" w:color="auto"/>
            <w:left w:val="none" w:sz="0" w:space="0" w:color="auto"/>
            <w:bottom w:val="none" w:sz="0" w:space="0" w:color="auto"/>
            <w:right w:val="none" w:sz="0" w:space="0" w:color="auto"/>
          </w:divBdr>
        </w:div>
        <w:div w:id="881288319">
          <w:marLeft w:val="0"/>
          <w:marRight w:val="0"/>
          <w:marTop w:val="0"/>
          <w:marBottom w:val="0"/>
          <w:divBdr>
            <w:top w:val="none" w:sz="0" w:space="0" w:color="auto"/>
            <w:left w:val="none" w:sz="0" w:space="0" w:color="auto"/>
            <w:bottom w:val="none" w:sz="0" w:space="0" w:color="auto"/>
            <w:right w:val="none" w:sz="0" w:space="0" w:color="auto"/>
          </w:divBdr>
        </w:div>
        <w:div w:id="305166044">
          <w:marLeft w:val="0"/>
          <w:marRight w:val="0"/>
          <w:marTop w:val="0"/>
          <w:marBottom w:val="0"/>
          <w:divBdr>
            <w:top w:val="none" w:sz="0" w:space="0" w:color="auto"/>
            <w:left w:val="none" w:sz="0" w:space="0" w:color="auto"/>
            <w:bottom w:val="none" w:sz="0" w:space="0" w:color="auto"/>
            <w:right w:val="none" w:sz="0" w:space="0" w:color="auto"/>
          </w:divBdr>
        </w:div>
        <w:div w:id="2105611858">
          <w:marLeft w:val="0"/>
          <w:marRight w:val="0"/>
          <w:marTop w:val="0"/>
          <w:marBottom w:val="0"/>
          <w:divBdr>
            <w:top w:val="none" w:sz="0" w:space="0" w:color="auto"/>
            <w:left w:val="none" w:sz="0" w:space="0" w:color="auto"/>
            <w:bottom w:val="none" w:sz="0" w:space="0" w:color="auto"/>
            <w:right w:val="none" w:sz="0" w:space="0" w:color="auto"/>
          </w:divBdr>
        </w:div>
        <w:div w:id="1566456808">
          <w:marLeft w:val="0"/>
          <w:marRight w:val="0"/>
          <w:marTop w:val="0"/>
          <w:marBottom w:val="0"/>
          <w:divBdr>
            <w:top w:val="none" w:sz="0" w:space="0" w:color="auto"/>
            <w:left w:val="none" w:sz="0" w:space="0" w:color="auto"/>
            <w:bottom w:val="none" w:sz="0" w:space="0" w:color="auto"/>
            <w:right w:val="none" w:sz="0" w:space="0" w:color="auto"/>
          </w:divBdr>
        </w:div>
        <w:div w:id="1170095688">
          <w:marLeft w:val="0"/>
          <w:marRight w:val="0"/>
          <w:marTop w:val="0"/>
          <w:marBottom w:val="0"/>
          <w:divBdr>
            <w:top w:val="none" w:sz="0" w:space="0" w:color="auto"/>
            <w:left w:val="none" w:sz="0" w:space="0" w:color="auto"/>
            <w:bottom w:val="none" w:sz="0" w:space="0" w:color="auto"/>
            <w:right w:val="none" w:sz="0" w:space="0" w:color="auto"/>
          </w:divBdr>
        </w:div>
        <w:div w:id="1600680941">
          <w:marLeft w:val="0"/>
          <w:marRight w:val="0"/>
          <w:marTop w:val="0"/>
          <w:marBottom w:val="0"/>
          <w:divBdr>
            <w:top w:val="none" w:sz="0" w:space="0" w:color="auto"/>
            <w:left w:val="none" w:sz="0" w:space="0" w:color="auto"/>
            <w:bottom w:val="none" w:sz="0" w:space="0" w:color="auto"/>
            <w:right w:val="none" w:sz="0" w:space="0" w:color="auto"/>
          </w:divBdr>
        </w:div>
        <w:div w:id="2010407051">
          <w:marLeft w:val="0"/>
          <w:marRight w:val="0"/>
          <w:marTop w:val="0"/>
          <w:marBottom w:val="0"/>
          <w:divBdr>
            <w:top w:val="none" w:sz="0" w:space="0" w:color="auto"/>
            <w:left w:val="none" w:sz="0" w:space="0" w:color="auto"/>
            <w:bottom w:val="none" w:sz="0" w:space="0" w:color="auto"/>
            <w:right w:val="none" w:sz="0" w:space="0" w:color="auto"/>
          </w:divBdr>
        </w:div>
        <w:div w:id="1258946701">
          <w:marLeft w:val="0"/>
          <w:marRight w:val="0"/>
          <w:marTop w:val="0"/>
          <w:marBottom w:val="0"/>
          <w:divBdr>
            <w:top w:val="none" w:sz="0" w:space="0" w:color="auto"/>
            <w:left w:val="none" w:sz="0" w:space="0" w:color="auto"/>
            <w:bottom w:val="none" w:sz="0" w:space="0" w:color="auto"/>
            <w:right w:val="none" w:sz="0" w:space="0" w:color="auto"/>
          </w:divBdr>
        </w:div>
        <w:div w:id="955063535">
          <w:marLeft w:val="0"/>
          <w:marRight w:val="0"/>
          <w:marTop w:val="0"/>
          <w:marBottom w:val="0"/>
          <w:divBdr>
            <w:top w:val="none" w:sz="0" w:space="0" w:color="auto"/>
            <w:left w:val="none" w:sz="0" w:space="0" w:color="auto"/>
            <w:bottom w:val="none" w:sz="0" w:space="0" w:color="auto"/>
            <w:right w:val="none" w:sz="0" w:space="0" w:color="auto"/>
          </w:divBdr>
        </w:div>
        <w:div w:id="459032950">
          <w:marLeft w:val="0"/>
          <w:marRight w:val="0"/>
          <w:marTop w:val="0"/>
          <w:marBottom w:val="0"/>
          <w:divBdr>
            <w:top w:val="none" w:sz="0" w:space="0" w:color="auto"/>
            <w:left w:val="none" w:sz="0" w:space="0" w:color="auto"/>
            <w:bottom w:val="none" w:sz="0" w:space="0" w:color="auto"/>
            <w:right w:val="none" w:sz="0" w:space="0" w:color="auto"/>
          </w:divBdr>
        </w:div>
        <w:div w:id="1105660066">
          <w:marLeft w:val="0"/>
          <w:marRight w:val="0"/>
          <w:marTop w:val="0"/>
          <w:marBottom w:val="0"/>
          <w:divBdr>
            <w:top w:val="none" w:sz="0" w:space="0" w:color="auto"/>
            <w:left w:val="none" w:sz="0" w:space="0" w:color="auto"/>
            <w:bottom w:val="none" w:sz="0" w:space="0" w:color="auto"/>
            <w:right w:val="none" w:sz="0" w:space="0" w:color="auto"/>
          </w:divBdr>
        </w:div>
        <w:div w:id="1062757585">
          <w:marLeft w:val="0"/>
          <w:marRight w:val="0"/>
          <w:marTop w:val="0"/>
          <w:marBottom w:val="0"/>
          <w:divBdr>
            <w:top w:val="none" w:sz="0" w:space="0" w:color="auto"/>
            <w:left w:val="none" w:sz="0" w:space="0" w:color="auto"/>
            <w:bottom w:val="none" w:sz="0" w:space="0" w:color="auto"/>
            <w:right w:val="none" w:sz="0" w:space="0" w:color="auto"/>
          </w:divBdr>
        </w:div>
        <w:div w:id="1500541510">
          <w:marLeft w:val="0"/>
          <w:marRight w:val="0"/>
          <w:marTop w:val="0"/>
          <w:marBottom w:val="0"/>
          <w:divBdr>
            <w:top w:val="none" w:sz="0" w:space="0" w:color="auto"/>
            <w:left w:val="none" w:sz="0" w:space="0" w:color="auto"/>
            <w:bottom w:val="none" w:sz="0" w:space="0" w:color="auto"/>
            <w:right w:val="none" w:sz="0" w:space="0" w:color="auto"/>
          </w:divBdr>
        </w:div>
        <w:div w:id="502748538">
          <w:marLeft w:val="0"/>
          <w:marRight w:val="0"/>
          <w:marTop w:val="0"/>
          <w:marBottom w:val="0"/>
          <w:divBdr>
            <w:top w:val="none" w:sz="0" w:space="0" w:color="auto"/>
            <w:left w:val="none" w:sz="0" w:space="0" w:color="auto"/>
            <w:bottom w:val="none" w:sz="0" w:space="0" w:color="auto"/>
            <w:right w:val="none" w:sz="0" w:space="0" w:color="auto"/>
          </w:divBdr>
        </w:div>
        <w:div w:id="1198202910">
          <w:marLeft w:val="0"/>
          <w:marRight w:val="0"/>
          <w:marTop w:val="0"/>
          <w:marBottom w:val="0"/>
          <w:divBdr>
            <w:top w:val="none" w:sz="0" w:space="0" w:color="auto"/>
            <w:left w:val="none" w:sz="0" w:space="0" w:color="auto"/>
            <w:bottom w:val="none" w:sz="0" w:space="0" w:color="auto"/>
            <w:right w:val="none" w:sz="0" w:space="0" w:color="auto"/>
          </w:divBdr>
        </w:div>
        <w:div w:id="1131902775">
          <w:marLeft w:val="0"/>
          <w:marRight w:val="0"/>
          <w:marTop w:val="0"/>
          <w:marBottom w:val="0"/>
          <w:divBdr>
            <w:top w:val="none" w:sz="0" w:space="0" w:color="auto"/>
            <w:left w:val="none" w:sz="0" w:space="0" w:color="auto"/>
            <w:bottom w:val="none" w:sz="0" w:space="0" w:color="auto"/>
            <w:right w:val="none" w:sz="0" w:space="0" w:color="auto"/>
          </w:divBdr>
        </w:div>
        <w:div w:id="735665763">
          <w:marLeft w:val="0"/>
          <w:marRight w:val="0"/>
          <w:marTop w:val="0"/>
          <w:marBottom w:val="0"/>
          <w:divBdr>
            <w:top w:val="none" w:sz="0" w:space="0" w:color="auto"/>
            <w:left w:val="none" w:sz="0" w:space="0" w:color="auto"/>
            <w:bottom w:val="none" w:sz="0" w:space="0" w:color="auto"/>
            <w:right w:val="none" w:sz="0" w:space="0" w:color="auto"/>
          </w:divBdr>
          <w:divsChild>
            <w:div w:id="2030989184">
              <w:marLeft w:val="0"/>
              <w:marRight w:val="0"/>
              <w:marTop w:val="0"/>
              <w:marBottom w:val="0"/>
              <w:divBdr>
                <w:top w:val="none" w:sz="0" w:space="0" w:color="auto"/>
                <w:left w:val="none" w:sz="0" w:space="0" w:color="auto"/>
                <w:bottom w:val="none" w:sz="0" w:space="0" w:color="auto"/>
                <w:right w:val="none" w:sz="0" w:space="0" w:color="auto"/>
              </w:divBdr>
              <w:divsChild>
                <w:div w:id="8551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373">
          <w:marLeft w:val="0"/>
          <w:marRight w:val="0"/>
          <w:marTop w:val="0"/>
          <w:marBottom w:val="0"/>
          <w:divBdr>
            <w:top w:val="none" w:sz="0" w:space="0" w:color="auto"/>
            <w:left w:val="none" w:sz="0" w:space="0" w:color="auto"/>
            <w:bottom w:val="none" w:sz="0" w:space="0" w:color="auto"/>
            <w:right w:val="none" w:sz="0" w:space="0" w:color="auto"/>
          </w:divBdr>
        </w:div>
        <w:div w:id="1830824541">
          <w:marLeft w:val="0"/>
          <w:marRight w:val="0"/>
          <w:marTop w:val="0"/>
          <w:marBottom w:val="0"/>
          <w:divBdr>
            <w:top w:val="none" w:sz="0" w:space="0" w:color="auto"/>
            <w:left w:val="none" w:sz="0" w:space="0" w:color="auto"/>
            <w:bottom w:val="none" w:sz="0" w:space="0" w:color="auto"/>
            <w:right w:val="none" w:sz="0" w:space="0" w:color="auto"/>
          </w:divBdr>
        </w:div>
        <w:div w:id="10999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vm.org/index.php" TargetMode="External"/><Relationship Id="rId5" Type="http://schemas.openxmlformats.org/officeDocument/2006/relationships/hyperlink" Target="https://www.leagueinfosight.com/recoverypro-overview" TargetMode="External"/><Relationship Id="rId4" Type="http://schemas.openxmlformats.org/officeDocument/2006/relationships/hyperlink" Target="https://www.curisk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Olexa</dc:creator>
  <cp:keywords/>
  <dc:description/>
  <cp:lastModifiedBy>Nick Olexa</cp:lastModifiedBy>
  <cp:revision>1</cp:revision>
  <dcterms:created xsi:type="dcterms:W3CDTF">2022-09-22T14:13:00Z</dcterms:created>
  <dcterms:modified xsi:type="dcterms:W3CDTF">2022-09-22T14:15:00Z</dcterms:modified>
</cp:coreProperties>
</file>