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5163C1" w14:paraId="7308875A" w14:textId="77777777">
        <w:trPr>
          <w:trHeight w:val="1934"/>
          <w:jc w:val="center"/>
        </w:trPr>
        <w:tc>
          <w:tcPr>
            <w:tcW w:w="10714" w:type="dxa"/>
            <w:gridSpan w:val="2"/>
            <w:tcMar>
              <w:top w:w="0" w:type="dxa"/>
              <w:left w:w="108" w:type="dxa"/>
              <w:bottom w:w="0" w:type="dxa"/>
              <w:right w:w="108" w:type="dxa"/>
            </w:tcMar>
          </w:tcPr>
          <w:p w14:paraId="12BEBDDE" w14:textId="77777777" w:rsidR="005163C1" w:rsidRDefault="00FD3023">
            <w:pPr>
              <w:spacing w:after="0" w:line="240" w:lineRule="auto"/>
              <w:jc w:val="center"/>
            </w:pPr>
            <w:r>
              <w:rPr>
                <w:noProof/>
              </w:rPr>
              <mc:AlternateContent>
                <mc:Choice Requires="wpg">
                  <w:drawing>
                    <wp:inline distT="0" distB="0" distL="0" distR="0" wp14:anchorId="0F123786" wp14:editId="48E8B822">
                      <wp:extent cx="2333625" cy="1221419"/>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pic:cNvPicPr>
                            </pic:nvPicPr>
                            <pic:blipFill>
                              <a:blip r:embed="rId7"/>
                              <a:stretch/>
                            </pic:blipFill>
                            <pic:spPr bwMode="auto">
                              <a:xfrm>
                                <a:off x="0" y="0"/>
                                <a:ext cx="2333625" cy="122141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3.8pt;height:96.2pt;" stroked="f">
                      <v:path textboxrect="0,0,0,0"/>
                      <v:imagedata r:id="rId9" o:title=""/>
                    </v:shape>
                  </w:pict>
                </mc:Fallback>
              </mc:AlternateContent>
            </w:r>
          </w:p>
          <w:p w14:paraId="3A86B98D" w14:textId="77777777" w:rsidR="005163C1" w:rsidRDefault="005163C1">
            <w:pPr>
              <w:spacing w:after="0" w:line="240" w:lineRule="auto"/>
              <w:jc w:val="center"/>
            </w:pPr>
          </w:p>
          <w:p w14:paraId="5D893023" w14:textId="77777777" w:rsidR="005163C1" w:rsidRDefault="00FD3023">
            <w:pPr>
              <w:spacing w:after="0" w:line="240" w:lineRule="auto"/>
              <w:jc w:val="center"/>
            </w:pPr>
            <w:hyperlink r:id="rId10" w:tooltip="http://www.glcu.org" w:history="1">
              <w:r>
                <w:rPr>
                  <w:color w:val="0563C1" w:themeColor="hyperlink"/>
                  <w:u w:val="single"/>
                </w:rPr>
                <w:t>www.glcu.org</w:t>
              </w:r>
            </w:hyperlink>
          </w:p>
        </w:tc>
      </w:tr>
      <w:tr w:rsidR="005163C1" w14:paraId="4C576A61" w14:textId="77777777">
        <w:trPr>
          <w:trHeight w:val="1057"/>
          <w:jc w:val="center"/>
        </w:trPr>
        <w:tc>
          <w:tcPr>
            <w:tcW w:w="4901" w:type="dxa"/>
            <w:tcMar>
              <w:top w:w="0" w:type="dxa"/>
              <w:left w:w="108" w:type="dxa"/>
              <w:bottom w:w="0" w:type="dxa"/>
              <w:right w:w="108" w:type="dxa"/>
            </w:tcMar>
          </w:tcPr>
          <w:p w14:paraId="293D8354" w14:textId="77777777" w:rsidR="005163C1" w:rsidRDefault="00FD3023">
            <w:pPr>
              <w:spacing w:after="0" w:line="240" w:lineRule="auto"/>
              <w:rPr>
                <w:b/>
                <w:bCs/>
              </w:rPr>
            </w:pPr>
            <w:r>
              <w:rPr>
                <w:b/>
                <w:bCs/>
              </w:rPr>
              <w:t>FOR IMMEDIATE RELEASE</w:t>
            </w:r>
          </w:p>
          <w:p w14:paraId="37E3FC44" w14:textId="77777777" w:rsidR="005163C1" w:rsidRDefault="005163C1">
            <w:pPr>
              <w:spacing w:after="0" w:line="240" w:lineRule="auto"/>
              <w:jc w:val="both"/>
            </w:pPr>
          </w:p>
        </w:tc>
        <w:tc>
          <w:tcPr>
            <w:tcW w:w="5813" w:type="dxa"/>
            <w:tcMar>
              <w:top w:w="0" w:type="dxa"/>
              <w:left w:w="108" w:type="dxa"/>
              <w:bottom w:w="0" w:type="dxa"/>
              <w:right w:w="108" w:type="dxa"/>
            </w:tcMar>
          </w:tcPr>
          <w:p w14:paraId="405192DF" w14:textId="77777777" w:rsidR="005163C1" w:rsidRDefault="00FD3023">
            <w:pPr>
              <w:spacing w:after="0" w:line="240" w:lineRule="auto"/>
              <w:jc w:val="right"/>
            </w:pPr>
            <w:r>
              <w:t>Contact: Media Department</w:t>
            </w:r>
          </w:p>
          <w:p w14:paraId="147C4A82" w14:textId="77777777" w:rsidR="005163C1" w:rsidRDefault="00FD3023">
            <w:pPr>
              <w:spacing w:after="0" w:line="240" w:lineRule="auto"/>
              <w:jc w:val="right"/>
            </w:pPr>
            <w:r>
              <w:t xml:space="preserve">media@glcu.org </w:t>
            </w:r>
          </w:p>
          <w:p w14:paraId="7F431A5D" w14:textId="77777777" w:rsidR="005163C1" w:rsidRDefault="00FD3023">
            <w:pPr>
              <w:spacing w:after="0" w:line="240" w:lineRule="auto"/>
              <w:jc w:val="right"/>
            </w:pPr>
            <w:r>
              <w:t xml:space="preserve">                                (847) 578-7324</w:t>
            </w:r>
          </w:p>
        </w:tc>
      </w:tr>
    </w:tbl>
    <w:p w14:paraId="5098EA2C" w14:textId="77777777" w:rsidR="005163C1" w:rsidRDefault="00FD3023">
      <w:pPr>
        <w:spacing w:after="0" w:line="240" w:lineRule="auto"/>
        <w:jc w:val="center"/>
        <w:rPr>
          <w:rFonts w:eastAsia="Times New Roman" w:cstheme="minorHAnsi"/>
          <w:b/>
          <w:bCs/>
        </w:rPr>
      </w:pPr>
      <w:r>
        <w:rPr>
          <w:rFonts w:eastAsia="Times New Roman" w:cstheme="minorHAnsi"/>
          <w:b/>
          <w:bCs/>
        </w:rPr>
        <w:t xml:space="preserve">Great Lakes Credit Union’s </w:t>
      </w:r>
      <w:r>
        <w:rPr>
          <w:rFonts w:eastAsia="Times New Roman" w:cstheme="minorHAnsi"/>
          <w:b/>
          <w:bCs/>
        </w:rPr>
        <w:t>Promotional 18-month Certificate Offers Competitive APY, Provides Members Low-risk Means to Multiply their Funds</w:t>
      </w:r>
    </w:p>
    <w:p w14:paraId="155C7925" w14:textId="77777777" w:rsidR="005163C1" w:rsidRDefault="005163C1">
      <w:pPr>
        <w:spacing w:after="0" w:line="240" w:lineRule="auto"/>
        <w:jc w:val="center"/>
        <w:rPr>
          <w:rFonts w:eastAsia="Times New Roman" w:cstheme="minorHAnsi"/>
          <w:b/>
        </w:rPr>
      </w:pPr>
    </w:p>
    <w:p w14:paraId="17A04E25" w14:textId="77777777" w:rsidR="005163C1" w:rsidRDefault="00FD302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themeColor="text1"/>
          <w:sz w:val="22"/>
          <w:szCs w:val="22"/>
        </w:rPr>
        <w:t>BANNOCKBURN, IL (September 1, 2022) – Great Lakes Credit Union (GLCU) is expanding its empowering portfolio of deposit products and offering m</w:t>
      </w:r>
      <w:r>
        <w:rPr>
          <w:rFonts w:asciiTheme="minorHAnsi" w:hAnsiTheme="minorHAnsi" w:cstheme="minorHAnsi"/>
          <w:color w:val="000000" w:themeColor="text1"/>
          <w:sz w:val="22"/>
          <w:szCs w:val="22"/>
        </w:rPr>
        <w:t xml:space="preserve">embers a competitive 18-month certificate, available from September 1, 2022, </w:t>
      </w:r>
      <w:r>
        <w:rPr>
          <w:rFonts w:asciiTheme="minorHAnsi" w:hAnsiTheme="minorHAnsi" w:cstheme="minorHAnsi"/>
          <w:color w:val="000000"/>
          <w:sz w:val="22"/>
          <w:szCs w:val="22"/>
        </w:rPr>
        <w:t>for a limited time. With the promotional offering, GLCU is providing members with yet another convenient way to predictably grow their savings and see stable returns on their mone</w:t>
      </w:r>
      <w:r>
        <w:rPr>
          <w:rFonts w:asciiTheme="minorHAnsi" w:hAnsiTheme="minorHAnsi" w:cstheme="minorHAnsi"/>
          <w:color w:val="000000"/>
          <w:sz w:val="22"/>
          <w:szCs w:val="22"/>
        </w:rPr>
        <w:t xml:space="preserve">y. The product’s APY is higher than industry-standard rates for certificates with the same term length, making it an especially attractive offer for members interested in multiplying their money quickly without the high risks of playing the stock market. </w:t>
      </w:r>
    </w:p>
    <w:p w14:paraId="7BE2A2C7" w14:textId="77777777" w:rsidR="005163C1" w:rsidRDefault="005163C1">
      <w:pPr>
        <w:pStyle w:val="NormalWeb"/>
        <w:spacing w:before="0" w:beforeAutospacing="0" w:after="0" w:afterAutospacing="0"/>
        <w:rPr>
          <w:rFonts w:asciiTheme="minorHAnsi" w:hAnsiTheme="minorHAnsi" w:cstheme="minorHAnsi"/>
          <w:color w:val="000000"/>
          <w:sz w:val="22"/>
          <w:szCs w:val="22"/>
        </w:rPr>
      </w:pPr>
    </w:p>
    <w:p w14:paraId="408B951E" w14:textId="77777777" w:rsidR="005163C1" w:rsidRDefault="00FD3023">
      <w:pPr>
        <w:spacing w:after="160"/>
        <w:rPr>
          <w:color w:val="000000"/>
        </w:rPr>
      </w:pPr>
      <w:bookmarkStart w:id="0" w:name="_Hlk112676379"/>
      <w:r>
        <w:rPr>
          <w:color w:val="000000"/>
        </w:rPr>
        <w:t xml:space="preserve">“With inflation and rising daily costs affecting the communities we </w:t>
      </w:r>
      <w:proofErr w:type="gramStart"/>
      <w:r>
        <w:rPr>
          <w:color w:val="000000"/>
        </w:rPr>
        <w:t>serve,</w:t>
      </w:r>
      <w:proofErr w:type="gramEnd"/>
      <w:r>
        <w:rPr>
          <w:color w:val="000000"/>
        </w:rPr>
        <w:t xml:space="preserve"> we are proud to provide a competitive 18-month certificate that can enable our members to see their money work harder for them. The high APY on this product is an especially great </w:t>
      </w:r>
      <w:r>
        <w:rPr>
          <w:color w:val="000000"/>
        </w:rPr>
        <w:t xml:space="preserve">feature for members and potential members consciously shopping for the best rates and who are interested in a low-risk way to grow their funds,” said Steve Bugg, GLCU CEO &amp; President. </w:t>
      </w:r>
    </w:p>
    <w:p w14:paraId="45E47E3C" w14:textId="77777777" w:rsidR="005163C1" w:rsidRDefault="00FD3023">
      <w:pPr>
        <w:spacing w:after="160"/>
        <w:rPr>
          <w:color w:val="000000"/>
        </w:rPr>
      </w:pPr>
      <w:r>
        <w:rPr>
          <w:color w:val="000000"/>
        </w:rPr>
        <w:t xml:space="preserve">“GLCU offers a range of attractive certificates, and with the addition </w:t>
      </w:r>
      <w:r>
        <w:rPr>
          <w:color w:val="000000"/>
        </w:rPr>
        <w:t xml:space="preserve">of the 18-month promotion, members can choose from an even greater selection of </w:t>
      </w:r>
      <w:hyperlink r:id="rId11" w:tooltip="https://www.glcu.org/bank/certificates/share-certificates/" w:history="1">
        <w:r>
          <w:rPr>
            <w:rStyle w:val="Hyperlink"/>
          </w:rPr>
          <w:t>certificate options and term lengths</w:t>
        </w:r>
      </w:hyperlink>
      <w:r>
        <w:rPr>
          <w:color w:val="000000"/>
        </w:rPr>
        <w:t xml:space="preserve"> </w:t>
      </w:r>
      <w:r>
        <w:rPr>
          <w:color w:val="000000"/>
        </w:rPr>
        <w:t xml:space="preserve">in order to open a certificate that best serves their needs.” </w:t>
      </w:r>
      <w:bookmarkEnd w:id="0"/>
    </w:p>
    <w:p w14:paraId="69CB9192" w14:textId="77777777" w:rsidR="005163C1" w:rsidRDefault="00FD3023">
      <w:pPr>
        <w:spacing w:after="160" w:line="240" w:lineRule="auto"/>
        <w:rPr>
          <w:rFonts w:eastAsia="Times New Roman" w:cstheme="minorHAnsi"/>
          <w:color w:val="000000"/>
        </w:rPr>
      </w:pPr>
      <w:r>
        <w:rPr>
          <w:rFonts w:eastAsia="Times New Roman" w:cstheme="minorHAnsi"/>
          <w:color w:val="000000"/>
        </w:rPr>
        <w:t>The 18-month certificate, now available, will be offered until an undetermined date. Members who are newly opening a certificate, rather than renewing one, can benefit from an attractive 2.750%</w:t>
      </w:r>
      <w:r>
        <w:rPr>
          <w:rFonts w:eastAsia="Times New Roman" w:cstheme="minorHAnsi"/>
          <w:color w:val="000000"/>
        </w:rPr>
        <w:t xml:space="preserve"> APY when they take advantage of the 18-month promotion – this applies to members who already have opened one or more </w:t>
      </w:r>
      <w:proofErr w:type="gramStart"/>
      <w:r>
        <w:rPr>
          <w:rFonts w:eastAsia="Times New Roman" w:cstheme="minorHAnsi"/>
          <w:color w:val="000000"/>
        </w:rPr>
        <w:t>certificates, if</w:t>
      </w:r>
      <w:proofErr w:type="gramEnd"/>
      <w:r>
        <w:rPr>
          <w:rFonts w:eastAsia="Times New Roman" w:cstheme="minorHAnsi"/>
          <w:color w:val="000000"/>
        </w:rPr>
        <w:t xml:space="preserve"> their current certificates are not expiring. GLCU certificate holders who are renewing an expiring certificate will recei</w:t>
      </w:r>
      <w:r>
        <w:rPr>
          <w:rFonts w:eastAsia="Times New Roman" w:cstheme="minorHAnsi"/>
          <w:color w:val="000000"/>
        </w:rPr>
        <w:t>ve the still competitively high 2.500% if they renew with the 18-month special offer.</w:t>
      </w:r>
    </w:p>
    <w:p w14:paraId="419C7CB5" w14:textId="77777777" w:rsidR="005163C1" w:rsidRDefault="00FD3023">
      <w:pPr>
        <w:spacing w:after="160" w:line="240" w:lineRule="auto"/>
        <w:rPr>
          <w:rFonts w:eastAsia="Times New Roman" w:cstheme="minorHAnsi"/>
          <w:color w:val="000000"/>
        </w:rPr>
      </w:pPr>
      <w:r>
        <w:rPr>
          <w:rFonts w:eastAsia="Times New Roman" w:cstheme="minorHAnsi"/>
          <w:color w:val="000000"/>
        </w:rPr>
        <w:t>As with checking accounts, savings accounts, CDs, money market accounts, and certain other accounts offered by credit unions, the 18-month certificate is federally insure</w:t>
      </w:r>
      <w:r>
        <w:rPr>
          <w:rFonts w:eastAsia="Times New Roman" w:cstheme="minorHAnsi"/>
          <w:color w:val="000000"/>
        </w:rPr>
        <w:t>d up to $250,000, by the NCUA, providing peace of mind for certificate holders</w:t>
      </w:r>
      <w:r>
        <w:rPr>
          <w:rFonts w:ascii="Calibri" w:eastAsia="Times New Roman" w:hAnsi="Calibri" w:cs="Calibri"/>
          <w:color w:val="000000"/>
        </w:rPr>
        <w:t>.</w:t>
      </w:r>
    </w:p>
    <w:p w14:paraId="2B691076" w14:textId="77777777" w:rsidR="005163C1" w:rsidRDefault="00FD3023">
      <w:pPr>
        <w:pStyle w:val="NormalWeb"/>
        <w:spacing w:before="0" w:beforeAutospacing="0" w:after="0" w:afterAutospacing="0"/>
        <w:rPr>
          <w:rFonts w:asciiTheme="minorHAnsi" w:hAnsiTheme="minorHAnsi" w:cstheme="minorHAnsi"/>
          <w:color w:val="0E101A"/>
          <w:sz w:val="22"/>
          <w:szCs w:val="22"/>
        </w:rPr>
      </w:pPr>
      <w:r>
        <w:rPr>
          <w:rStyle w:val="Strong"/>
          <w:rFonts w:asciiTheme="minorHAnsi" w:hAnsiTheme="minorHAnsi" w:cstheme="minorHAnsi"/>
          <w:color w:val="0E101A"/>
          <w:sz w:val="22"/>
          <w:szCs w:val="22"/>
        </w:rPr>
        <w:t>About Great Lakes Credit Union</w:t>
      </w:r>
    </w:p>
    <w:p w14:paraId="78A93723" w14:textId="77777777" w:rsidR="005163C1" w:rsidRDefault="00FD3023">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Founded in 1938 and headquartered in Northern Illinois, GLCU i</w:t>
      </w:r>
      <w:r>
        <w:rPr>
          <w:rFonts w:asciiTheme="minorHAnsi" w:hAnsiTheme="minorHAnsi" w:cstheme="minorHAnsi"/>
          <w:color w:val="0E101A"/>
          <w:sz w:val="22"/>
          <w:szCs w:val="22"/>
        </w:rPr>
        <w:t xml:space="preserve">s committed to financial empowerment for you. As a not-for-profit financial cooperative with over $1 billion in assets, GLCU is proud to serve more than 80,000 members in the Chicagoland and surrounding areas. Learn more about GLCU’s accounts, educational </w:t>
      </w:r>
      <w:proofErr w:type="gramStart"/>
      <w:r>
        <w:rPr>
          <w:rFonts w:asciiTheme="minorHAnsi" w:hAnsiTheme="minorHAnsi" w:cstheme="minorHAnsi"/>
          <w:color w:val="0E101A"/>
          <w:sz w:val="22"/>
          <w:szCs w:val="22"/>
        </w:rPr>
        <w:t>initiatives</w:t>
      </w:r>
      <w:proofErr w:type="gramEnd"/>
      <w:r>
        <w:rPr>
          <w:rFonts w:asciiTheme="minorHAnsi" w:hAnsiTheme="minorHAnsi" w:cstheme="minorHAnsi"/>
          <w:color w:val="0E101A"/>
          <w:sz w:val="22"/>
          <w:szCs w:val="22"/>
        </w:rPr>
        <w:t xml:space="preserve"> and community development programs at glcu.org</w:t>
      </w:r>
    </w:p>
    <w:p w14:paraId="0EB5235E" w14:textId="77777777" w:rsidR="005163C1" w:rsidRDefault="005163C1">
      <w:pPr>
        <w:pStyle w:val="NormalWeb"/>
        <w:spacing w:before="0" w:beforeAutospacing="0" w:after="0" w:afterAutospacing="0"/>
        <w:rPr>
          <w:rFonts w:asciiTheme="minorHAnsi" w:hAnsiTheme="minorHAnsi" w:cstheme="minorHAnsi"/>
          <w:color w:val="0E101A"/>
          <w:sz w:val="22"/>
          <w:szCs w:val="22"/>
        </w:rPr>
      </w:pPr>
    </w:p>
    <w:p w14:paraId="561A851E" w14:textId="77777777" w:rsidR="005163C1" w:rsidRDefault="005163C1">
      <w:pPr>
        <w:pStyle w:val="NormalWeb"/>
        <w:spacing w:before="0" w:beforeAutospacing="0" w:after="0" w:afterAutospacing="0"/>
        <w:rPr>
          <w:rFonts w:asciiTheme="minorHAnsi" w:hAnsiTheme="minorHAnsi" w:cstheme="minorHAnsi"/>
          <w:color w:val="0E101A"/>
          <w:sz w:val="22"/>
          <w:szCs w:val="22"/>
        </w:rPr>
      </w:pPr>
    </w:p>
    <w:p w14:paraId="5271C409" w14:textId="77777777" w:rsidR="005163C1" w:rsidRDefault="005163C1">
      <w:pPr>
        <w:pStyle w:val="NormalWeb"/>
        <w:spacing w:before="0" w:beforeAutospacing="0" w:after="0" w:afterAutospacing="0"/>
        <w:rPr>
          <w:rFonts w:asciiTheme="minorHAnsi" w:hAnsiTheme="minorHAnsi" w:cstheme="minorHAnsi"/>
          <w:color w:val="0E101A"/>
          <w:sz w:val="22"/>
          <w:szCs w:val="22"/>
        </w:rPr>
      </w:pPr>
    </w:p>
    <w:p w14:paraId="717A7BF0" w14:textId="77777777" w:rsidR="005163C1" w:rsidRDefault="00FD3023">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      </w:t>
      </w:r>
    </w:p>
    <w:p w14:paraId="02F18AE5" w14:textId="77777777" w:rsidR="005163C1" w:rsidRDefault="005163C1">
      <w:pPr>
        <w:pStyle w:val="NormalWeb"/>
        <w:spacing w:before="0" w:beforeAutospacing="0" w:after="0" w:afterAutospacing="0"/>
        <w:rPr>
          <w:rFonts w:asciiTheme="minorHAnsi" w:hAnsiTheme="minorHAnsi" w:cstheme="minorHAnsi"/>
          <w:color w:val="0E101A"/>
          <w:sz w:val="22"/>
          <w:szCs w:val="22"/>
        </w:rPr>
      </w:pPr>
    </w:p>
    <w:p w14:paraId="076A2B77" w14:textId="77777777" w:rsidR="005163C1" w:rsidRDefault="005163C1">
      <w:pPr>
        <w:pStyle w:val="NormalWeb"/>
        <w:spacing w:before="0" w:beforeAutospacing="0" w:after="0" w:afterAutospacing="0"/>
        <w:rPr>
          <w:rFonts w:asciiTheme="minorHAnsi" w:hAnsiTheme="minorHAnsi" w:cstheme="minorHAnsi"/>
          <w:color w:val="0E101A"/>
          <w:sz w:val="22"/>
          <w:szCs w:val="22"/>
        </w:rPr>
      </w:pPr>
    </w:p>
    <w:sectPr w:rsidR="005163C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A01D" w14:textId="77777777" w:rsidR="005163C1" w:rsidRDefault="00FD3023">
      <w:pPr>
        <w:spacing w:after="0" w:line="240" w:lineRule="auto"/>
      </w:pPr>
      <w:r>
        <w:separator/>
      </w:r>
    </w:p>
  </w:endnote>
  <w:endnote w:type="continuationSeparator" w:id="0">
    <w:p w14:paraId="4060CCF6" w14:textId="77777777" w:rsidR="005163C1" w:rsidRDefault="00FD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BE3E" w14:textId="77777777" w:rsidR="005163C1" w:rsidRDefault="00FD3023">
      <w:pPr>
        <w:spacing w:after="0" w:line="240" w:lineRule="auto"/>
      </w:pPr>
      <w:r>
        <w:separator/>
      </w:r>
    </w:p>
  </w:footnote>
  <w:footnote w:type="continuationSeparator" w:id="0">
    <w:p w14:paraId="2DB410DA" w14:textId="77777777" w:rsidR="005163C1" w:rsidRDefault="00FD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153"/>
    <w:multiLevelType w:val="hybridMultilevel"/>
    <w:tmpl w:val="0F5E0F40"/>
    <w:lvl w:ilvl="0" w:tplc="54D4C2A0">
      <w:start w:val="1"/>
      <w:numFmt w:val="bullet"/>
      <w:lvlText w:val=""/>
      <w:lvlJc w:val="left"/>
      <w:pPr>
        <w:tabs>
          <w:tab w:val="num" w:pos="720"/>
        </w:tabs>
        <w:ind w:left="720" w:hanging="360"/>
      </w:pPr>
      <w:rPr>
        <w:rFonts w:ascii="Symbol" w:hAnsi="Symbol" w:hint="default"/>
        <w:sz w:val="20"/>
      </w:rPr>
    </w:lvl>
    <w:lvl w:ilvl="1" w:tplc="22E61B9E">
      <w:start w:val="1"/>
      <w:numFmt w:val="bullet"/>
      <w:lvlText w:val="o"/>
      <w:lvlJc w:val="left"/>
      <w:pPr>
        <w:tabs>
          <w:tab w:val="num" w:pos="1440"/>
        </w:tabs>
        <w:ind w:left="1440" w:hanging="360"/>
      </w:pPr>
      <w:rPr>
        <w:rFonts w:ascii="Courier New" w:hAnsi="Courier New" w:hint="default"/>
        <w:sz w:val="20"/>
      </w:rPr>
    </w:lvl>
    <w:lvl w:ilvl="2" w:tplc="FF6C6F16">
      <w:start w:val="1"/>
      <w:numFmt w:val="bullet"/>
      <w:lvlText w:val=""/>
      <w:lvlJc w:val="left"/>
      <w:pPr>
        <w:tabs>
          <w:tab w:val="num" w:pos="2160"/>
        </w:tabs>
        <w:ind w:left="2160" w:hanging="360"/>
      </w:pPr>
      <w:rPr>
        <w:rFonts w:ascii="Wingdings" w:hAnsi="Wingdings" w:hint="default"/>
        <w:sz w:val="20"/>
      </w:rPr>
    </w:lvl>
    <w:lvl w:ilvl="3" w:tplc="0714D930">
      <w:start w:val="1"/>
      <w:numFmt w:val="bullet"/>
      <w:lvlText w:val=""/>
      <w:lvlJc w:val="left"/>
      <w:pPr>
        <w:tabs>
          <w:tab w:val="num" w:pos="2880"/>
        </w:tabs>
        <w:ind w:left="2880" w:hanging="360"/>
      </w:pPr>
      <w:rPr>
        <w:rFonts w:ascii="Wingdings" w:hAnsi="Wingdings" w:hint="default"/>
        <w:sz w:val="20"/>
      </w:rPr>
    </w:lvl>
    <w:lvl w:ilvl="4" w:tplc="93B86C84">
      <w:start w:val="1"/>
      <w:numFmt w:val="bullet"/>
      <w:lvlText w:val=""/>
      <w:lvlJc w:val="left"/>
      <w:pPr>
        <w:tabs>
          <w:tab w:val="num" w:pos="3600"/>
        </w:tabs>
        <w:ind w:left="3600" w:hanging="360"/>
      </w:pPr>
      <w:rPr>
        <w:rFonts w:ascii="Wingdings" w:hAnsi="Wingdings" w:hint="default"/>
        <w:sz w:val="20"/>
      </w:rPr>
    </w:lvl>
    <w:lvl w:ilvl="5" w:tplc="6986C840">
      <w:start w:val="1"/>
      <w:numFmt w:val="bullet"/>
      <w:lvlText w:val=""/>
      <w:lvlJc w:val="left"/>
      <w:pPr>
        <w:tabs>
          <w:tab w:val="num" w:pos="4320"/>
        </w:tabs>
        <w:ind w:left="4320" w:hanging="360"/>
      </w:pPr>
      <w:rPr>
        <w:rFonts w:ascii="Wingdings" w:hAnsi="Wingdings" w:hint="default"/>
        <w:sz w:val="20"/>
      </w:rPr>
    </w:lvl>
    <w:lvl w:ilvl="6" w:tplc="DCECD522">
      <w:start w:val="1"/>
      <w:numFmt w:val="bullet"/>
      <w:lvlText w:val=""/>
      <w:lvlJc w:val="left"/>
      <w:pPr>
        <w:tabs>
          <w:tab w:val="num" w:pos="5040"/>
        </w:tabs>
        <w:ind w:left="5040" w:hanging="360"/>
      </w:pPr>
      <w:rPr>
        <w:rFonts w:ascii="Wingdings" w:hAnsi="Wingdings" w:hint="default"/>
        <w:sz w:val="20"/>
      </w:rPr>
    </w:lvl>
    <w:lvl w:ilvl="7" w:tplc="39782740">
      <w:start w:val="1"/>
      <w:numFmt w:val="bullet"/>
      <w:lvlText w:val=""/>
      <w:lvlJc w:val="left"/>
      <w:pPr>
        <w:tabs>
          <w:tab w:val="num" w:pos="5760"/>
        </w:tabs>
        <w:ind w:left="5760" w:hanging="360"/>
      </w:pPr>
      <w:rPr>
        <w:rFonts w:ascii="Wingdings" w:hAnsi="Wingdings" w:hint="default"/>
        <w:sz w:val="20"/>
      </w:rPr>
    </w:lvl>
    <w:lvl w:ilvl="8" w:tplc="435468C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5236E"/>
    <w:multiLevelType w:val="hybridMultilevel"/>
    <w:tmpl w:val="BB1CC324"/>
    <w:lvl w:ilvl="0" w:tplc="F4A88C42">
      <w:start w:val="1"/>
      <w:numFmt w:val="bullet"/>
      <w:lvlText w:val=""/>
      <w:lvlJc w:val="left"/>
      <w:pPr>
        <w:tabs>
          <w:tab w:val="num" w:pos="720"/>
        </w:tabs>
        <w:ind w:left="720" w:hanging="360"/>
      </w:pPr>
      <w:rPr>
        <w:rFonts w:ascii="Symbol" w:hAnsi="Symbol" w:hint="default"/>
        <w:sz w:val="20"/>
      </w:rPr>
    </w:lvl>
    <w:lvl w:ilvl="1" w:tplc="312CE3E0">
      <w:start w:val="1"/>
      <w:numFmt w:val="bullet"/>
      <w:lvlText w:val="o"/>
      <w:lvlJc w:val="left"/>
      <w:pPr>
        <w:tabs>
          <w:tab w:val="num" w:pos="1440"/>
        </w:tabs>
        <w:ind w:left="1440" w:hanging="360"/>
      </w:pPr>
      <w:rPr>
        <w:rFonts w:ascii="Courier New" w:hAnsi="Courier New" w:hint="default"/>
        <w:sz w:val="20"/>
      </w:rPr>
    </w:lvl>
    <w:lvl w:ilvl="2" w:tplc="8EC804A8">
      <w:start w:val="1"/>
      <w:numFmt w:val="bullet"/>
      <w:lvlText w:val=""/>
      <w:lvlJc w:val="left"/>
      <w:pPr>
        <w:tabs>
          <w:tab w:val="num" w:pos="2160"/>
        </w:tabs>
        <w:ind w:left="2160" w:hanging="360"/>
      </w:pPr>
      <w:rPr>
        <w:rFonts w:ascii="Wingdings" w:hAnsi="Wingdings" w:hint="default"/>
        <w:sz w:val="20"/>
      </w:rPr>
    </w:lvl>
    <w:lvl w:ilvl="3" w:tplc="1DB2ADB8">
      <w:start w:val="1"/>
      <w:numFmt w:val="bullet"/>
      <w:lvlText w:val=""/>
      <w:lvlJc w:val="left"/>
      <w:pPr>
        <w:tabs>
          <w:tab w:val="num" w:pos="2880"/>
        </w:tabs>
        <w:ind w:left="2880" w:hanging="360"/>
      </w:pPr>
      <w:rPr>
        <w:rFonts w:ascii="Wingdings" w:hAnsi="Wingdings" w:hint="default"/>
        <w:sz w:val="20"/>
      </w:rPr>
    </w:lvl>
    <w:lvl w:ilvl="4" w:tplc="06CAAFC0">
      <w:start w:val="1"/>
      <w:numFmt w:val="bullet"/>
      <w:lvlText w:val=""/>
      <w:lvlJc w:val="left"/>
      <w:pPr>
        <w:tabs>
          <w:tab w:val="num" w:pos="3600"/>
        </w:tabs>
        <w:ind w:left="3600" w:hanging="360"/>
      </w:pPr>
      <w:rPr>
        <w:rFonts w:ascii="Wingdings" w:hAnsi="Wingdings" w:hint="default"/>
        <w:sz w:val="20"/>
      </w:rPr>
    </w:lvl>
    <w:lvl w:ilvl="5" w:tplc="E14467BE">
      <w:start w:val="1"/>
      <w:numFmt w:val="bullet"/>
      <w:lvlText w:val=""/>
      <w:lvlJc w:val="left"/>
      <w:pPr>
        <w:tabs>
          <w:tab w:val="num" w:pos="4320"/>
        </w:tabs>
        <w:ind w:left="4320" w:hanging="360"/>
      </w:pPr>
      <w:rPr>
        <w:rFonts w:ascii="Wingdings" w:hAnsi="Wingdings" w:hint="default"/>
        <w:sz w:val="20"/>
      </w:rPr>
    </w:lvl>
    <w:lvl w:ilvl="6" w:tplc="6B700FF6">
      <w:start w:val="1"/>
      <w:numFmt w:val="bullet"/>
      <w:lvlText w:val=""/>
      <w:lvlJc w:val="left"/>
      <w:pPr>
        <w:tabs>
          <w:tab w:val="num" w:pos="5040"/>
        </w:tabs>
        <w:ind w:left="5040" w:hanging="360"/>
      </w:pPr>
      <w:rPr>
        <w:rFonts w:ascii="Wingdings" w:hAnsi="Wingdings" w:hint="default"/>
        <w:sz w:val="20"/>
      </w:rPr>
    </w:lvl>
    <w:lvl w:ilvl="7" w:tplc="9F645BDC">
      <w:start w:val="1"/>
      <w:numFmt w:val="bullet"/>
      <w:lvlText w:val=""/>
      <w:lvlJc w:val="left"/>
      <w:pPr>
        <w:tabs>
          <w:tab w:val="num" w:pos="5760"/>
        </w:tabs>
        <w:ind w:left="5760" w:hanging="360"/>
      </w:pPr>
      <w:rPr>
        <w:rFonts w:ascii="Wingdings" w:hAnsi="Wingdings" w:hint="default"/>
        <w:sz w:val="20"/>
      </w:rPr>
    </w:lvl>
    <w:lvl w:ilvl="8" w:tplc="93FA878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B2DAD"/>
    <w:multiLevelType w:val="hybridMultilevel"/>
    <w:tmpl w:val="DFB6FE06"/>
    <w:lvl w:ilvl="0" w:tplc="B2C4AC70">
      <w:start w:val="1"/>
      <w:numFmt w:val="bullet"/>
      <w:lvlText w:val=""/>
      <w:lvlJc w:val="left"/>
      <w:pPr>
        <w:ind w:left="720" w:hanging="360"/>
      </w:pPr>
      <w:rPr>
        <w:rFonts w:ascii="Symbol" w:hAnsi="Symbol" w:hint="default"/>
      </w:rPr>
    </w:lvl>
    <w:lvl w:ilvl="1" w:tplc="B0D2FBE2">
      <w:start w:val="1"/>
      <w:numFmt w:val="bullet"/>
      <w:lvlText w:val="o"/>
      <w:lvlJc w:val="left"/>
      <w:pPr>
        <w:ind w:left="1440" w:hanging="360"/>
      </w:pPr>
      <w:rPr>
        <w:rFonts w:ascii="Courier New" w:hAnsi="Courier New" w:cs="Courier New" w:hint="default"/>
      </w:rPr>
    </w:lvl>
    <w:lvl w:ilvl="2" w:tplc="AEAEDC10">
      <w:start w:val="1"/>
      <w:numFmt w:val="bullet"/>
      <w:lvlText w:val=""/>
      <w:lvlJc w:val="left"/>
      <w:pPr>
        <w:ind w:left="2160" w:hanging="360"/>
      </w:pPr>
      <w:rPr>
        <w:rFonts w:ascii="Wingdings" w:hAnsi="Wingdings" w:hint="default"/>
      </w:rPr>
    </w:lvl>
    <w:lvl w:ilvl="3" w:tplc="054C7FE0">
      <w:start w:val="1"/>
      <w:numFmt w:val="bullet"/>
      <w:lvlText w:val=""/>
      <w:lvlJc w:val="left"/>
      <w:pPr>
        <w:ind w:left="2880" w:hanging="360"/>
      </w:pPr>
      <w:rPr>
        <w:rFonts w:ascii="Symbol" w:hAnsi="Symbol" w:hint="default"/>
      </w:rPr>
    </w:lvl>
    <w:lvl w:ilvl="4" w:tplc="250C9F7C">
      <w:start w:val="1"/>
      <w:numFmt w:val="bullet"/>
      <w:lvlText w:val="o"/>
      <w:lvlJc w:val="left"/>
      <w:pPr>
        <w:ind w:left="3600" w:hanging="360"/>
      </w:pPr>
      <w:rPr>
        <w:rFonts w:ascii="Courier New" w:hAnsi="Courier New" w:cs="Courier New" w:hint="default"/>
      </w:rPr>
    </w:lvl>
    <w:lvl w:ilvl="5" w:tplc="0518B904">
      <w:start w:val="1"/>
      <w:numFmt w:val="bullet"/>
      <w:lvlText w:val=""/>
      <w:lvlJc w:val="left"/>
      <w:pPr>
        <w:ind w:left="4320" w:hanging="360"/>
      </w:pPr>
      <w:rPr>
        <w:rFonts w:ascii="Wingdings" w:hAnsi="Wingdings" w:hint="default"/>
      </w:rPr>
    </w:lvl>
    <w:lvl w:ilvl="6" w:tplc="65C6F04E">
      <w:start w:val="1"/>
      <w:numFmt w:val="bullet"/>
      <w:lvlText w:val=""/>
      <w:lvlJc w:val="left"/>
      <w:pPr>
        <w:ind w:left="5040" w:hanging="360"/>
      </w:pPr>
      <w:rPr>
        <w:rFonts w:ascii="Symbol" w:hAnsi="Symbol" w:hint="default"/>
      </w:rPr>
    </w:lvl>
    <w:lvl w:ilvl="7" w:tplc="8EC8FE1A">
      <w:start w:val="1"/>
      <w:numFmt w:val="bullet"/>
      <w:lvlText w:val="o"/>
      <w:lvlJc w:val="left"/>
      <w:pPr>
        <w:ind w:left="5760" w:hanging="360"/>
      </w:pPr>
      <w:rPr>
        <w:rFonts w:ascii="Courier New" w:hAnsi="Courier New" w:cs="Courier New" w:hint="default"/>
      </w:rPr>
    </w:lvl>
    <w:lvl w:ilvl="8" w:tplc="BEDE03C6">
      <w:start w:val="1"/>
      <w:numFmt w:val="bullet"/>
      <w:lvlText w:val=""/>
      <w:lvlJc w:val="left"/>
      <w:pPr>
        <w:ind w:left="6480" w:hanging="360"/>
      </w:pPr>
      <w:rPr>
        <w:rFonts w:ascii="Wingdings" w:hAnsi="Wingdings" w:hint="default"/>
      </w:rPr>
    </w:lvl>
  </w:abstractNum>
  <w:num w:numId="1" w16cid:durableId="454956023">
    <w:abstractNumId w:val="2"/>
  </w:num>
  <w:num w:numId="2" w16cid:durableId="117572714">
    <w:abstractNumId w:val="0"/>
  </w:num>
  <w:num w:numId="3" w16cid:durableId="2045396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C1"/>
    <w:rsid w:val="005163C1"/>
    <w:rsid w:val="00FD3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EB53"/>
  <w15:docId w15:val="{B30CF29F-01CE-494F-96C8-6E33851D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rPr>
      <w:b/>
      <w:bCs/>
      <w:color w:val="4472C4"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120" w:line="264" w:lineRule="auto"/>
      <w:ind w:left="720"/>
      <w:contextualSpacing/>
    </w:pPr>
    <w:rPr>
      <w:rFonts w:eastAsiaTheme="minorEastAsia"/>
      <w:sz w:val="20"/>
      <w:szCs w:val="20"/>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2gmchg">
    <w:name w:val="_2gmchg"/>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gmchg1">
    <w:name w:val="_2gmchg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cu.org/bank/certificates/share-certificates/" TargetMode="External"/><Relationship Id="rId5" Type="http://schemas.openxmlformats.org/officeDocument/2006/relationships/footnotes" Target="footnotes.xml"/><Relationship Id="rId10" Type="http://schemas.openxmlformats.org/officeDocument/2006/relationships/hyperlink" Target="http://www.glcu.org" TargetMode="Externa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Company>Great Lakes Credit Union</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Brito</dc:creator>
  <cp:keywords/>
  <dc:description/>
  <cp:lastModifiedBy>Emily Loftis</cp:lastModifiedBy>
  <cp:revision>2</cp:revision>
  <dcterms:created xsi:type="dcterms:W3CDTF">2022-08-30T22:14:00Z</dcterms:created>
  <dcterms:modified xsi:type="dcterms:W3CDTF">2022-08-30T22:14:00Z</dcterms:modified>
</cp:coreProperties>
</file>