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0572" w14:textId="7BF1DDF2" w:rsidR="00AF3C58" w:rsidRDefault="00A36870" w:rsidP="00417B6C">
      <w:pPr>
        <w:pStyle w:val="Heading4"/>
        <w:rPr>
          <w:rFonts w:ascii="Verdana" w:hAnsi="Verdana"/>
          <w:color w:val="000000" w:themeColor="text1"/>
          <w:sz w:val="21"/>
        </w:rPr>
      </w:pPr>
      <w:r>
        <w:rPr>
          <w:rFonts w:ascii="Verdana" w:eastAsia="Calibri" w:hAnsi="Verdana" w:cs="Calibri"/>
          <w:iCs/>
          <w:color w:val="000000" w:themeColor="text1"/>
          <w:sz w:val="36"/>
          <w:szCs w:val="36"/>
        </w:rPr>
        <w:t>T</w:t>
      </w:r>
      <w:r w:rsidR="000D5DB9">
        <w:rPr>
          <w:rFonts w:ascii="Verdana" w:eastAsia="Calibri" w:hAnsi="Verdana" w:cs="Calibri"/>
          <w:iCs/>
          <w:color w:val="000000" w:themeColor="text1"/>
          <w:sz w:val="36"/>
          <w:szCs w:val="36"/>
        </w:rPr>
        <w:t>rust for Credit Unions</w:t>
      </w:r>
      <w:r>
        <w:rPr>
          <w:rFonts w:ascii="Verdana" w:eastAsia="Calibri" w:hAnsi="Verdana" w:cs="Calibri"/>
          <w:iCs/>
          <w:color w:val="000000" w:themeColor="text1"/>
          <w:sz w:val="36"/>
          <w:szCs w:val="36"/>
        </w:rPr>
        <w:t xml:space="preserve"> </w:t>
      </w:r>
      <w:r w:rsidR="001F2862">
        <w:rPr>
          <w:rFonts w:ascii="Verdana" w:eastAsia="Calibri" w:hAnsi="Verdana" w:cs="Calibri"/>
          <w:iCs/>
          <w:color w:val="000000" w:themeColor="text1"/>
          <w:sz w:val="36"/>
          <w:szCs w:val="36"/>
        </w:rPr>
        <w:t xml:space="preserve">Launches New Portfolio </w:t>
      </w:r>
      <w:r w:rsidR="000D5DB9">
        <w:rPr>
          <w:rFonts w:ascii="Verdana" w:eastAsia="Calibri" w:hAnsi="Verdana" w:cs="Calibri"/>
          <w:iCs/>
          <w:color w:val="000000" w:themeColor="text1"/>
          <w:sz w:val="36"/>
          <w:szCs w:val="36"/>
        </w:rPr>
        <w:t>for</w:t>
      </w:r>
      <w:r w:rsidR="001F2862">
        <w:rPr>
          <w:rFonts w:ascii="Verdana" w:eastAsia="Calibri" w:hAnsi="Verdana" w:cs="Calibri"/>
          <w:iCs/>
          <w:color w:val="000000" w:themeColor="text1"/>
          <w:sz w:val="36"/>
          <w:szCs w:val="36"/>
        </w:rPr>
        <w:t xml:space="preserve"> Benefits Pre-Funding &amp; Charitable Donation Accounts</w:t>
      </w:r>
    </w:p>
    <w:p w14:paraId="6EEDEEA0" w14:textId="1885CFE4" w:rsidR="00B8720A" w:rsidRPr="00B8720A" w:rsidRDefault="00B8720A" w:rsidP="00417B6C">
      <w:pPr>
        <w:pStyle w:val="Heading4"/>
        <w:rPr>
          <w:rFonts w:ascii="Verdana" w:hAnsi="Verdana"/>
          <w:color w:val="000000" w:themeColor="text1"/>
          <w:sz w:val="21"/>
          <w:szCs w:val="21"/>
        </w:rPr>
      </w:pPr>
      <w:r w:rsidRPr="00B8720A">
        <w:rPr>
          <w:rFonts w:ascii="Verdana" w:hAnsi="Verdana"/>
          <w:color w:val="000000" w:themeColor="text1"/>
          <w:sz w:val="21"/>
          <w:szCs w:val="21"/>
        </w:rPr>
        <w:br/>
      </w:r>
      <w:r w:rsidRPr="00B8720A">
        <w:rPr>
          <w:rFonts w:ascii="Verdana" w:hAnsi="Verdana"/>
          <w:color w:val="000000" w:themeColor="text1"/>
          <w:sz w:val="21"/>
        </w:rPr>
        <w:t>For Immediate Release:</w:t>
      </w:r>
      <w:r w:rsidRPr="00B8720A">
        <w:rPr>
          <w:rFonts w:ascii="Verdana" w:hAnsi="Verdana"/>
          <w:color w:val="000000" w:themeColor="text1"/>
          <w:sz w:val="21"/>
          <w:szCs w:val="21"/>
        </w:rPr>
        <w:t xml:space="preserve">  </w:t>
      </w:r>
      <w:r w:rsidR="00E51EB1">
        <w:rPr>
          <w:rFonts w:ascii="Verdana" w:hAnsi="Verdana"/>
          <w:color w:val="000000" w:themeColor="text1"/>
          <w:sz w:val="21"/>
          <w:szCs w:val="21"/>
        </w:rPr>
        <w:t xml:space="preserve">September </w:t>
      </w:r>
      <w:r w:rsidR="00875A74">
        <w:rPr>
          <w:rFonts w:ascii="Verdana" w:hAnsi="Verdana"/>
          <w:color w:val="000000" w:themeColor="text1"/>
          <w:sz w:val="21"/>
          <w:szCs w:val="21"/>
        </w:rPr>
        <w:t>1</w:t>
      </w:r>
      <w:r w:rsidR="009C6749">
        <w:rPr>
          <w:rFonts w:ascii="Verdana" w:hAnsi="Verdana"/>
          <w:color w:val="000000" w:themeColor="text1"/>
          <w:sz w:val="21"/>
          <w:szCs w:val="21"/>
        </w:rPr>
        <w:t>3</w:t>
      </w:r>
      <w:r w:rsidR="000C1C85">
        <w:rPr>
          <w:rFonts w:ascii="Verdana" w:hAnsi="Verdana"/>
          <w:color w:val="000000" w:themeColor="text1"/>
          <w:sz w:val="21"/>
          <w:szCs w:val="21"/>
        </w:rPr>
        <w:t>, 202</w:t>
      </w:r>
      <w:r w:rsidR="00DA1E2C">
        <w:rPr>
          <w:rFonts w:ascii="Verdana" w:hAnsi="Verdana"/>
          <w:color w:val="000000" w:themeColor="text1"/>
          <w:sz w:val="21"/>
          <w:szCs w:val="21"/>
        </w:rPr>
        <w:t>2</w:t>
      </w:r>
      <w:r w:rsidRPr="00B8720A">
        <w:rPr>
          <w:rFonts w:ascii="Verdana" w:hAnsi="Verdana"/>
          <w:color w:val="000000" w:themeColor="text1"/>
          <w:sz w:val="21"/>
          <w:szCs w:val="21"/>
        </w:rPr>
        <w:br/>
      </w:r>
      <w:r w:rsidRPr="00B8720A">
        <w:rPr>
          <w:rFonts w:ascii="Verdana" w:hAnsi="Verdana"/>
          <w:color w:val="000000" w:themeColor="text1"/>
          <w:sz w:val="21"/>
        </w:rPr>
        <w:t xml:space="preserve">Contact: </w:t>
      </w:r>
      <w:r w:rsidR="0099046F">
        <w:rPr>
          <w:rFonts w:ascii="Verdana" w:hAnsi="Verdana"/>
          <w:color w:val="000000" w:themeColor="text1"/>
          <w:sz w:val="21"/>
          <w:szCs w:val="21"/>
        </w:rPr>
        <w:t>Sharon Simpson</w:t>
      </w:r>
      <w:r w:rsidRPr="00B8720A">
        <w:rPr>
          <w:rFonts w:ascii="Verdana" w:hAnsi="Verdana"/>
          <w:color w:val="000000" w:themeColor="text1"/>
          <w:sz w:val="21"/>
          <w:szCs w:val="21"/>
        </w:rPr>
        <w:t xml:space="preserve">, (202) 223-3920 or </w:t>
      </w:r>
      <w:hyperlink r:id="rId6" w:history="1">
        <w:r w:rsidR="0099046F" w:rsidRPr="00337034">
          <w:rPr>
            <w:rStyle w:val="Hyperlink"/>
            <w:rFonts w:ascii="Verdana" w:hAnsi="Verdana"/>
            <w:sz w:val="21"/>
            <w:szCs w:val="21"/>
          </w:rPr>
          <w:t>ssimpson@callahan.com</w:t>
        </w:r>
      </w:hyperlink>
      <w:r w:rsidRPr="00B8720A">
        <w:rPr>
          <w:rFonts w:ascii="Verdana" w:hAnsi="Verdana"/>
          <w:color w:val="000000" w:themeColor="text1"/>
          <w:sz w:val="21"/>
          <w:szCs w:val="21"/>
        </w:rPr>
        <w:br/>
      </w:r>
    </w:p>
    <w:p w14:paraId="0E01C2E7" w14:textId="522A8CE8" w:rsidR="00C516D4" w:rsidRDefault="00B8720A" w:rsidP="00D35A96">
      <w:pPr>
        <w:spacing w:after="0" w:line="360" w:lineRule="auto"/>
        <w:rPr>
          <w:rFonts w:eastAsia="Times New Roman" w:cs="Arial"/>
          <w:color w:val="000000" w:themeColor="text1"/>
          <w:sz w:val="21"/>
          <w:szCs w:val="21"/>
        </w:rPr>
      </w:pPr>
      <w:r w:rsidRPr="00B8720A">
        <w:rPr>
          <w:rFonts w:eastAsia="Times New Roman" w:cs="Arial"/>
          <w:b/>
          <w:color w:val="000000" w:themeColor="text1"/>
          <w:sz w:val="21"/>
          <w:szCs w:val="21"/>
        </w:rPr>
        <w:t>Washington, D.C.</w:t>
      </w:r>
      <w:r w:rsidR="005A0EB6">
        <w:rPr>
          <w:rFonts w:eastAsia="Times New Roman" w:cs="Arial"/>
          <w:color w:val="000000" w:themeColor="text1"/>
          <w:sz w:val="21"/>
          <w:szCs w:val="21"/>
        </w:rPr>
        <w:t xml:space="preserve"> – </w:t>
      </w:r>
      <w:r w:rsidR="00D35A96">
        <w:rPr>
          <w:rFonts w:eastAsia="Times New Roman" w:cs="Arial"/>
          <w:color w:val="000000" w:themeColor="text1"/>
          <w:sz w:val="21"/>
          <w:szCs w:val="21"/>
        </w:rPr>
        <w:t xml:space="preserve">The </w:t>
      </w:r>
      <w:r w:rsidR="000141D8" w:rsidRPr="000141D8">
        <w:rPr>
          <w:rFonts w:eastAsia="Times New Roman" w:cs="Arial"/>
          <w:color w:val="000000" w:themeColor="text1"/>
          <w:sz w:val="21"/>
          <w:szCs w:val="21"/>
        </w:rPr>
        <w:t xml:space="preserve">Trust for Credit Unions (TCU), the oldest and largest mutual fund family created for and by credit unions, </w:t>
      </w:r>
      <w:r w:rsidR="00D35A96">
        <w:rPr>
          <w:rFonts w:eastAsia="Times New Roman" w:cs="Arial"/>
          <w:color w:val="000000" w:themeColor="text1"/>
          <w:sz w:val="21"/>
          <w:szCs w:val="21"/>
        </w:rPr>
        <w:t xml:space="preserve">has </w:t>
      </w:r>
      <w:r w:rsidR="000A4BD3">
        <w:rPr>
          <w:rFonts w:eastAsia="Times New Roman" w:cs="Arial"/>
          <w:color w:val="000000" w:themeColor="text1"/>
          <w:sz w:val="21"/>
          <w:szCs w:val="21"/>
        </w:rPr>
        <w:t xml:space="preserve">expanded its product line by launching </w:t>
      </w:r>
      <w:r w:rsidR="000A4620">
        <w:rPr>
          <w:rFonts w:eastAsia="Times New Roman" w:cs="Arial"/>
          <w:color w:val="000000" w:themeColor="text1"/>
          <w:sz w:val="21"/>
          <w:szCs w:val="21"/>
        </w:rPr>
        <w:t xml:space="preserve">a </w:t>
      </w:r>
      <w:r w:rsidR="000A4BD3">
        <w:rPr>
          <w:rFonts w:eastAsia="Times New Roman" w:cs="Arial"/>
          <w:color w:val="000000" w:themeColor="text1"/>
          <w:sz w:val="21"/>
          <w:szCs w:val="21"/>
        </w:rPr>
        <w:t>new investment option.</w:t>
      </w:r>
      <w:r w:rsidR="001A6D82">
        <w:rPr>
          <w:rFonts w:eastAsia="Times New Roman" w:cs="Arial"/>
          <w:color w:val="000000" w:themeColor="text1"/>
          <w:sz w:val="21"/>
          <w:szCs w:val="21"/>
        </w:rPr>
        <w:t xml:space="preserve"> The new portfolio </w:t>
      </w:r>
      <w:r w:rsidR="00DC4224">
        <w:rPr>
          <w:rFonts w:eastAsia="Times New Roman" w:cs="Arial"/>
          <w:color w:val="000000" w:themeColor="text1"/>
          <w:sz w:val="21"/>
          <w:szCs w:val="21"/>
        </w:rPr>
        <w:t xml:space="preserve">was </w:t>
      </w:r>
      <w:r w:rsidR="00B4698A">
        <w:rPr>
          <w:rFonts w:eastAsia="Times New Roman" w:cs="Arial"/>
          <w:color w:val="000000" w:themeColor="text1"/>
          <w:sz w:val="21"/>
          <w:szCs w:val="21"/>
        </w:rPr>
        <w:t>created to address</w:t>
      </w:r>
      <w:r w:rsidR="00835B58">
        <w:rPr>
          <w:rFonts w:eastAsia="Times New Roman" w:cs="Arial"/>
          <w:color w:val="000000" w:themeColor="text1"/>
          <w:sz w:val="21"/>
          <w:szCs w:val="21"/>
        </w:rPr>
        <w:t xml:space="preserve"> </w:t>
      </w:r>
      <w:r w:rsidR="00CE50D6">
        <w:rPr>
          <w:rFonts w:eastAsia="Times New Roman" w:cs="Arial"/>
          <w:color w:val="000000" w:themeColor="text1"/>
          <w:sz w:val="21"/>
          <w:szCs w:val="21"/>
        </w:rPr>
        <w:t xml:space="preserve">the industry’s pressing need to </w:t>
      </w:r>
      <w:r w:rsidR="001B1E3C">
        <w:rPr>
          <w:rFonts w:eastAsia="Times New Roman" w:cs="Arial"/>
          <w:color w:val="000000" w:themeColor="text1"/>
          <w:sz w:val="21"/>
          <w:szCs w:val="21"/>
        </w:rPr>
        <w:t xml:space="preserve">enhance </w:t>
      </w:r>
      <w:r w:rsidR="00835B58">
        <w:rPr>
          <w:rFonts w:eastAsia="Times New Roman" w:cs="Arial"/>
          <w:color w:val="000000" w:themeColor="text1"/>
          <w:sz w:val="21"/>
          <w:szCs w:val="21"/>
        </w:rPr>
        <w:t xml:space="preserve">talent management and </w:t>
      </w:r>
      <w:r w:rsidR="00D51840">
        <w:rPr>
          <w:rFonts w:eastAsia="Times New Roman" w:cs="Arial"/>
          <w:color w:val="000000" w:themeColor="text1"/>
          <w:sz w:val="21"/>
          <w:szCs w:val="21"/>
        </w:rPr>
        <w:t xml:space="preserve">cooperatives’ </w:t>
      </w:r>
      <w:r w:rsidR="001B1E3C">
        <w:rPr>
          <w:rFonts w:eastAsia="Times New Roman" w:cs="Arial"/>
          <w:color w:val="000000" w:themeColor="text1"/>
          <w:sz w:val="21"/>
          <w:szCs w:val="21"/>
        </w:rPr>
        <w:t xml:space="preserve">ongoing goal </w:t>
      </w:r>
      <w:r w:rsidR="00D51840">
        <w:rPr>
          <w:rFonts w:eastAsia="Times New Roman" w:cs="Arial"/>
          <w:color w:val="000000" w:themeColor="text1"/>
          <w:sz w:val="21"/>
          <w:szCs w:val="21"/>
        </w:rPr>
        <w:t>of</w:t>
      </w:r>
      <w:r w:rsidR="001B1E3C">
        <w:rPr>
          <w:rFonts w:eastAsia="Times New Roman" w:cs="Arial"/>
          <w:color w:val="000000" w:themeColor="text1"/>
          <w:sz w:val="21"/>
          <w:szCs w:val="21"/>
        </w:rPr>
        <w:t xml:space="preserve"> </w:t>
      </w:r>
      <w:r w:rsidR="00835B58">
        <w:rPr>
          <w:rFonts w:eastAsia="Times New Roman" w:cs="Arial"/>
          <w:color w:val="000000" w:themeColor="text1"/>
          <w:sz w:val="21"/>
          <w:szCs w:val="21"/>
        </w:rPr>
        <w:t>maximiz</w:t>
      </w:r>
      <w:r w:rsidR="00D51840">
        <w:rPr>
          <w:rFonts w:eastAsia="Times New Roman" w:cs="Arial"/>
          <w:color w:val="000000" w:themeColor="text1"/>
          <w:sz w:val="21"/>
          <w:szCs w:val="21"/>
        </w:rPr>
        <w:t>ing</w:t>
      </w:r>
      <w:r w:rsidR="00835B58">
        <w:rPr>
          <w:rFonts w:eastAsia="Times New Roman" w:cs="Arial"/>
          <w:color w:val="000000" w:themeColor="text1"/>
          <w:sz w:val="21"/>
          <w:szCs w:val="21"/>
        </w:rPr>
        <w:t xml:space="preserve"> community impact.</w:t>
      </w:r>
    </w:p>
    <w:p w14:paraId="0E37ED79" w14:textId="0CAA5F8D" w:rsidR="00C516D4" w:rsidRDefault="00C516D4" w:rsidP="00D35A96">
      <w:pPr>
        <w:spacing w:after="0" w:line="360" w:lineRule="auto"/>
        <w:rPr>
          <w:rFonts w:eastAsia="Times New Roman" w:cs="Arial"/>
          <w:color w:val="000000" w:themeColor="text1"/>
          <w:sz w:val="21"/>
          <w:szCs w:val="21"/>
        </w:rPr>
      </w:pPr>
    </w:p>
    <w:p w14:paraId="3828EB8E" w14:textId="16D64F4F" w:rsidR="001942F5" w:rsidRDefault="009C6749" w:rsidP="00C516D4">
      <w:pPr>
        <w:spacing w:after="0" w:line="360" w:lineRule="auto"/>
        <w:rPr>
          <w:rFonts w:eastAsia="Times New Roman" w:cs="Arial"/>
          <w:color w:val="000000" w:themeColor="text1"/>
          <w:sz w:val="21"/>
          <w:szCs w:val="21"/>
        </w:rPr>
      </w:pPr>
      <w:r>
        <w:rPr>
          <w:rFonts w:eastAsia="Times New Roman" w:cs="Arial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3943D8C9" wp14:editId="474DD6B8">
            <wp:simplePos x="0" y="0"/>
            <wp:positionH relativeFrom="column">
              <wp:posOffset>3228975</wp:posOffset>
            </wp:positionH>
            <wp:positionV relativeFrom="paragraph">
              <wp:posOffset>793750</wp:posOffset>
            </wp:positionV>
            <wp:extent cx="2520315" cy="3150235"/>
            <wp:effectExtent l="0" t="0" r="0" b="0"/>
            <wp:wrapSquare wrapText="bothSides"/>
            <wp:docPr id="2" name="Picture 2" descr="A person smiling for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smiling for the camera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315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BD3">
        <w:rPr>
          <w:rFonts w:eastAsia="Times New Roman" w:cs="Arial"/>
          <w:color w:val="000000" w:themeColor="text1"/>
          <w:sz w:val="21"/>
          <w:szCs w:val="21"/>
        </w:rPr>
        <w:t xml:space="preserve">The </w:t>
      </w:r>
      <w:r w:rsidR="00D35A96" w:rsidRPr="00D35A96">
        <w:rPr>
          <w:rFonts w:eastAsia="Times New Roman" w:cs="Arial"/>
          <w:color w:val="000000" w:themeColor="text1"/>
          <w:sz w:val="21"/>
          <w:szCs w:val="21"/>
        </w:rPr>
        <w:t>Enhanced Income Intermediate</w:t>
      </w:r>
      <w:r w:rsidR="00C516D4">
        <w:rPr>
          <w:rFonts w:eastAsia="Times New Roman" w:cs="Arial"/>
          <w:color w:val="000000" w:themeColor="text1"/>
          <w:sz w:val="21"/>
          <w:szCs w:val="21"/>
        </w:rPr>
        <w:t xml:space="preserve"> </w:t>
      </w:r>
      <w:r w:rsidR="00D35A96" w:rsidRPr="00D35A96">
        <w:rPr>
          <w:rFonts w:eastAsia="Times New Roman" w:cs="Arial"/>
          <w:color w:val="000000" w:themeColor="text1"/>
          <w:sz w:val="21"/>
          <w:szCs w:val="21"/>
        </w:rPr>
        <w:t xml:space="preserve">Duration Credit Portfolio </w:t>
      </w:r>
      <w:r w:rsidR="00C516D4">
        <w:rPr>
          <w:rFonts w:eastAsia="Times New Roman" w:cs="Arial"/>
          <w:color w:val="000000" w:themeColor="text1"/>
          <w:sz w:val="21"/>
          <w:szCs w:val="21"/>
        </w:rPr>
        <w:t>seek</w:t>
      </w:r>
      <w:r w:rsidR="00DC4224">
        <w:rPr>
          <w:rFonts w:eastAsia="Times New Roman" w:cs="Arial"/>
          <w:color w:val="000000" w:themeColor="text1"/>
          <w:sz w:val="21"/>
          <w:szCs w:val="21"/>
        </w:rPr>
        <w:t>s</w:t>
      </w:r>
      <w:r w:rsidR="00C516D4" w:rsidRPr="00C516D4">
        <w:rPr>
          <w:rFonts w:eastAsia="Times New Roman" w:cs="Arial"/>
          <w:color w:val="000000" w:themeColor="text1"/>
          <w:sz w:val="21"/>
          <w:szCs w:val="21"/>
        </w:rPr>
        <w:t xml:space="preserve"> to</w:t>
      </w:r>
      <w:r w:rsidR="00C516D4">
        <w:rPr>
          <w:rFonts w:eastAsia="Times New Roman" w:cs="Arial"/>
          <w:color w:val="000000" w:themeColor="text1"/>
          <w:sz w:val="21"/>
          <w:szCs w:val="21"/>
        </w:rPr>
        <w:t xml:space="preserve"> </w:t>
      </w:r>
      <w:r w:rsidR="00C516D4" w:rsidRPr="00C516D4">
        <w:rPr>
          <w:rFonts w:eastAsia="Times New Roman" w:cs="Arial"/>
          <w:color w:val="000000" w:themeColor="text1"/>
          <w:sz w:val="21"/>
          <w:szCs w:val="21"/>
        </w:rPr>
        <w:t>achieve a high level of total return and income</w:t>
      </w:r>
      <w:r w:rsidR="00C516D4">
        <w:rPr>
          <w:rFonts w:eastAsia="Times New Roman" w:cs="Arial"/>
          <w:color w:val="000000" w:themeColor="text1"/>
          <w:sz w:val="21"/>
          <w:szCs w:val="21"/>
        </w:rPr>
        <w:t xml:space="preserve"> and </w:t>
      </w:r>
      <w:r w:rsidR="00DC4224">
        <w:rPr>
          <w:rFonts w:eastAsia="Times New Roman" w:cs="Arial"/>
          <w:color w:val="000000" w:themeColor="text1"/>
          <w:sz w:val="21"/>
          <w:szCs w:val="21"/>
        </w:rPr>
        <w:t xml:space="preserve">was </w:t>
      </w:r>
      <w:r w:rsidR="00C516D4">
        <w:rPr>
          <w:rFonts w:eastAsia="Times New Roman" w:cs="Arial"/>
          <w:color w:val="000000" w:themeColor="text1"/>
          <w:sz w:val="21"/>
          <w:szCs w:val="21"/>
        </w:rPr>
        <w:t xml:space="preserve">designed to help credit unions access </w:t>
      </w:r>
      <w:r w:rsidR="003D1544">
        <w:rPr>
          <w:rFonts w:eastAsia="Times New Roman" w:cs="Arial"/>
          <w:color w:val="000000" w:themeColor="text1"/>
          <w:sz w:val="21"/>
          <w:szCs w:val="21"/>
        </w:rPr>
        <w:t>broader</w:t>
      </w:r>
      <w:r w:rsidR="00C516D4">
        <w:rPr>
          <w:rFonts w:eastAsia="Times New Roman" w:cs="Arial"/>
          <w:color w:val="000000" w:themeColor="text1"/>
          <w:sz w:val="21"/>
          <w:szCs w:val="21"/>
        </w:rPr>
        <w:t xml:space="preserve"> investment options through their Employee Benefits Pre-Funding Plans and Charitable Donation Accounts (CDAs).</w:t>
      </w:r>
      <w:r w:rsidR="00184731">
        <w:rPr>
          <w:rFonts w:eastAsia="Times New Roman" w:cs="Arial"/>
          <w:color w:val="000000" w:themeColor="text1"/>
          <w:sz w:val="21"/>
          <w:szCs w:val="21"/>
        </w:rPr>
        <w:t xml:space="preserve"> ALM First serves as the investment advisor o</w:t>
      </w:r>
      <w:r w:rsidR="00BD2868">
        <w:rPr>
          <w:rFonts w:eastAsia="Times New Roman" w:cs="Arial"/>
          <w:color w:val="000000" w:themeColor="text1"/>
          <w:sz w:val="21"/>
          <w:szCs w:val="21"/>
        </w:rPr>
        <w:t>f the new portfolio in addition to TCU’s two core bond portfolios.</w:t>
      </w:r>
      <w:r w:rsidR="00855C29">
        <w:rPr>
          <w:rFonts w:eastAsia="Times New Roman" w:cs="Arial"/>
          <w:color w:val="000000" w:themeColor="text1"/>
          <w:sz w:val="21"/>
          <w:szCs w:val="21"/>
        </w:rPr>
        <w:t xml:space="preserve"> </w:t>
      </w:r>
    </w:p>
    <w:p w14:paraId="2DC7D853" w14:textId="0CD367BE" w:rsidR="003D1544" w:rsidRDefault="003D1544" w:rsidP="00C516D4">
      <w:pPr>
        <w:spacing w:after="0" w:line="360" w:lineRule="auto"/>
        <w:rPr>
          <w:rFonts w:eastAsia="Times New Roman" w:cs="Arial"/>
          <w:color w:val="000000" w:themeColor="text1"/>
          <w:sz w:val="21"/>
          <w:szCs w:val="21"/>
        </w:rPr>
      </w:pPr>
    </w:p>
    <w:p w14:paraId="5540657C" w14:textId="04E3162C" w:rsidR="003D1544" w:rsidRDefault="003D1544" w:rsidP="00C516D4">
      <w:pPr>
        <w:spacing w:after="0" w:line="360" w:lineRule="auto"/>
        <w:rPr>
          <w:rFonts w:eastAsia="Times New Roman" w:cs="Arial"/>
          <w:color w:val="000000" w:themeColor="text1"/>
          <w:sz w:val="21"/>
          <w:szCs w:val="21"/>
        </w:rPr>
      </w:pPr>
      <w:r>
        <w:rPr>
          <w:rFonts w:eastAsia="Times New Roman" w:cs="Arial"/>
          <w:color w:val="000000" w:themeColor="text1"/>
          <w:sz w:val="21"/>
          <w:szCs w:val="21"/>
        </w:rPr>
        <w:t>“</w:t>
      </w:r>
      <w:r w:rsidR="008A38DF">
        <w:rPr>
          <w:rFonts w:eastAsia="Times New Roman" w:cs="Arial"/>
          <w:color w:val="000000" w:themeColor="text1"/>
          <w:sz w:val="21"/>
          <w:szCs w:val="21"/>
        </w:rPr>
        <w:t xml:space="preserve">As the first new </w:t>
      </w:r>
      <w:r w:rsidR="001D55B1">
        <w:rPr>
          <w:rFonts w:eastAsia="Times New Roman" w:cs="Arial"/>
          <w:color w:val="000000" w:themeColor="text1"/>
          <w:sz w:val="21"/>
          <w:szCs w:val="21"/>
        </w:rPr>
        <w:t>portfolio</w:t>
      </w:r>
      <w:r w:rsidR="008A38DF">
        <w:rPr>
          <w:rFonts w:eastAsia="Times New Roman" w:cs="Arial"/>
          <w:color w:val="000000" w:themeColor="text1"/>
          <w:sz w:val="21"/>
          <w:szCs w:val="21"/>
        </w:rPr>
        <w:t xml:space="preserve"> launched</w:t>
      </w:r>
      <w:r w:rsidR="00B80D34">
        <w:rPr>
          <w:rFonts w:eastAsia="Times New Roman" w:cs="Arial"/>
          <w:color w:val="000000" w:themeColor="text1"/>
          <w:sz w:val="21"/>
          <w:szCs w:val="21"/>
        </w:rPr>
        <w:t xml:space="preserve"> by </w:t>
      </w:r>
      <w:r w:rsidR="001D55B1">
        <w:rPr>
          <w:rFonts w:eastAsia="Times New Roman" w:cs="Arial"/>
          <w:color w:val="000000" w:themeColor="text1"/>
          <w:sz w:val="21"/>
          <w:szCs w:val="21"/>
        </w:rPr>
        <w:t>TCU</w:t>
      </w:r>
      <w:r w:rsidR="008A38DF">
        <w:rPr>
          <w:rFonts w:eastAsia="Times New Roman" w:cs="Arial"/>
          <w:color w:val="000000" w:themeColor="text1"/>
          <w:sz w:val="21"/>
          <w:szCs w:val="21"/>
        </w:rPr>
        <w:t xml:space="preserve"> in </w:t>
      </w:r>
      <w:r w:rsidR="00B80D34">
        <w:rPr>
          <w:rFonts w:eastAsia="Times New Roman" w:cs="Arial"/>
          <w:color w:val="000000" w:themeColor="text1"/>
          <w:sz w:val="21"/>
          <w:szCs w:val="21"/>
        </w:rPr>
        <w:t xml:space="preserve">more than </w:t>
      </w:r>
      <w:r w:rsidR="008A38DF">
        <w:rPr>
          <w:rFonts w:eastAsia="Times New Roman" w:cs="Arial"/>
          <w:color w:val="000000" w:themeColor="text1"/>
          <w:sz w:val="21"/>
          <w:szCs w:val="21"/>
        </w:rPr>
        <w:t>25</w:t>
      </w:r>
      <w:r w:rsidR="00B80D34">
        <w:rPr>
          <w:rFonts w:eastAsia="Times New Roman" w:cs="Arial"/>
          <w:color w:val="000000" w:themeColor="text1"/>
          <w:sz w:val="21"/>
          <w:szCs w:val="21"/>
        </w:rPr>
        <w:t xml:space="preserve"> </w:t>
      </w:r>
      <w:r w:rsidR="008A38DF">
        <w:rPr>
          <w:rFonts w:eastAsia="Times New Roman" w:cs="Arial"/>
          <w:color w:val="000000" w:themeColor="text1"/>
          <w:sz w:val="21"/>
          <w:szCs w:val="21"/>
        </w:rPr>
        <w:t xml:space="preserve">years, this </w:t>
      </w:r>
      <w:r w:rsidR="00A9141D">
        <w:rPr>
          <w:rFonts w:eastAsia="Times New Roman" w:cs="Arial"/>
          <w:color w:val="000000" w:themeColor="text1"/>
          <w:sz w:val="21"/>
          <w:szCs w:val="21"/>
        </w:rPr>
        <w:t>product</w:t>
      </w:r>
      <w:r w:rsidR="008A38DF">
        <w:rPr>
          <w:rFonts w:eastAsia="Times New Roman" w:cs="Arial"/>
          <w:color w:val="000000" w:themeColor="text1"/>
          <w:sz w:val="21"/>
          <w:szCs w:val="21"/>
        </w:rPr>
        <w:t xml:space="preserve"> </w:t>
      </w:r>
      <w:r w:rsidR="00CD2E18">
        <w:rPr>
          <w:rFonts w:eastAsia="Times New Roman" w:cs="Arial"/>
          <w:color w:val="000000" w:themeColor="text1"/>
          <w:sz w:val="21"/>
          <w:szCs w:val="21"/>
        </w:rPr>
        <w:t xml:space="preserve">represents an important milestone,” says Julie Renderos, Chair of TCU’s Board of Trustees and </w:t>
      </w:r>
      <w:r w:rsidR="00CD2E18" w:rsidRPr="00CD2E18">
        <w:rPr>
          <w:rFonts w:eastAsia="Times New Roman" w:cs="Arial"/>
          <w:color w:val="000000" w:themeColor="text1"/>
          <w:sz w:val="21"/>
          <w:szCs w:val="21"/>
        </w:rPr>
        <w:t>Executive Vice President &amp; Chief Financial Officer</w:t>
      </w:r>
      <w:r w:rsidR="00CD2E18">
        <w:rPr>
          <w:rFonts w:eastAsia="Times New Roman" w:cs="Arial"/>
          <w:color w:val="000000" w:themeColor="text1"/>
          <w:sz w:val="21"/>
          <w:szCs w:val="21"/>
        </w:rPr>
        <w:t xml:space="preserve"> for</w:t>
      </w:r>
      <w:r w:rsidR="00CD2E18" w:rsidRPr="00CD2E18">
        <w:rPr>
          <w:rFonts w:eastAsia="Times New Roman" w:cs="Arial"/>
          <w:color w:val="000000" w:themeColor="text1"/>
          <w:sz w:val="21"/>
          <w:szCs w:val="21"/>
        </w:rPr>
        <w:t xml:space="preserve"> Suncoast Credit Union</w:t>
      </w:r>
      <w:r w:rsidR="009A4EE8">
        <w:rPr>
          <w:rFonts w:eastAsia="Times New Roman" w:cs="Arial"/>
          <w:color w:val="000000" w:themeColor="text1"/>
          <w:sz w:val="21"/>
          <w:szCs w:val="21"/>
        </w:rPr>
        <w:t>. “</w:t>
      </w:r>
      <w:r w:rsidR="00EA13AC">
        <w:rPr>
          <w:rFonts w:eastAsia="Times New Roman" w:cs="Arial"/>
          <w:color w:val="000000" w:themeColor="text1"/>
          <w:sz w:val="21"/>
          <w:szCs w:val="21"/>
        </w:rPr>
        <w:t xml:space="preserve">As </w:t>
      </w:r>
      <w:r w:rsidR="00A13EB2">
        <w:rPr>
          <w:rFonts w:eastAsia="Times New Roman" w:cs="Arial"/>
          <w:color w:val="000000" w:themeColor="text1"/>
          <w:sz w:val="21"/>
          <w:szCs w:val="21"/>
        </w:rPr>
        <w:t xml:space="preserve">credit unions focus more on talent management and community impact, </w:t>
      </w:r>
      <w:r w:rsidR="00120147">
        <w:rPr>
          <w:rFonts w:eastAsia="Times New Roman" w:cs="Arial"/>
          <w:color w:val="000000" w:themeColor="text1"/>
          <w:sz w:val="21"/>
          <w:szCs w:val="21"/>
        </w:rPr>
        <w:t xml:space="preserve">TCU’s Enhanced Income </w:t>
      </w:r>
      <w:r w:rsidR="00120147">
        <w:rPr>
          <w:rFonts w:eastAsia="Times New Roman" w:cs="Arial"/>
          <w:color w:val="000000" w:themeColor="text1"/>
          <w:sz w:val="21"/>
          <w:szCs w:val="21"/>
        </w:rPr>
        <w:lastRenderedPageBreak/>
        <w:t>Intermediate Duration Credit Portfolio serves an important industry need.”</w:t>
      </w:r>
    </w:p>
    <w:p w14:paraId="47F06BDA" w14:textId="77777777" w:rsidR="00870AB2" w:rsidRDefault="00870AB2" w:rsidP="001942F5">
      <w:pPr>
        <w:spacing w:after="0" w:line="360" w:lineRule="auto"/>
        <w:rPr>
          <w:rFonts w:eastAsia="Times New Roman" w:cs="Arial"/>
          <w:color w:val="000000" w:themeColor="text1"/>
          <w:sz w:val="21"/>
          <w:szCs w:val="21"/>
        </w:rPr>
      </w:pPr>
    </w:p>
    <w:p w14:paraId="03740759" w14:textId="3A503CA4" w:rsidR="000141D8" w:rsidRDefault="009C00FB" w:rsidP="000141D8">
      <w:pPr>
        <w:spacing w:after="0" w:line="360" w:lineRule="auto"/>
        <w:rPr>
          <w:rFonts w:eastAsia="Times New Roman" w:cs="Arial"/>
          <w:color w:val="000000" w:themeColor="text1"/>
          <w:sz w:val="21"/>
          <w:szCs w:val="21"/>
        </w:rPr>
      </w:pPr>
      <w:r>
        <w:rPr>
          <w:rFonts w:eastAsia="Times New Roman" w:cs="Arial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3AE6AA67" wp14:editId="55EB1E88">
            <wp:simplePos x="0" y="0"/>
            <wp:positionH relativeFrom="column">
              <wp:posOffset>3362325</wp:posOffset>
            </wp:positionH>
            <wp:positionV relativeFrom="paragraph">
              <wp:posOffset>9525</wp:posOffset>
            </wp:positionV>
            <wp:extent cx="2346960" cy="2933700"/>
            <wp:effectExtent l="0" t="0" r="0" b="0"/>
            <wp:wrapSquare wrapText="bothSides"/>
            <wp:docPr id="4" name="Picture 4" descr="A picture containing person, person, suit,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person, person, suit, wall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0AB2" w:rsidRPr="001942F5">
        <w:rPr>
          <w:rFonts w:eastAsia="Times New Roman" w:cs="Arial"/>
          <w:color w:val="000000" w:themeColor="text1"/>
          <w:sz w:val="21"/>
          <w:szCs w:val="21"/>
        </w:rPr>
        <w:t>“</w:t>
      </w:r>
      <w:r w:rsidR="00DB2075">
        <w:rPr>
          <w:rFonts w:eastAsia="Times New Roman" w:cs="Arial"/>
          <w:color w:val="000000" w:themeColor="text1"/>
          <w:sz w:val="21"/>
          <w:szCs w:val="21"/>
        </w:rPr>
        <w:t>Since 1987, TCU has been serving credit unions’ institutional investment needs and building a strong track record of performance</w:t>
      </w:r>
      <w:r w:rsidR="0088634D">
        <w:rPr>
          <w:rFonts w:eastAsia="Times New Roman" w:cs="Arial"/>
          <w:color w:val="000000" w:themeColor="text1"/>
          <w:sz w:val="21"/>
          <w:szCs w:val="21"/>
        </w:rPr>
        <w:t>,</w:t>
      </w:r>
      <w:r w:rsidR="00870AB2" w:rsidRPr="001942F5">
        <w:rPr>
          <w:rFonts w:eastAsia="Times New Roman" w:cs="Arial"/>
          <w:color w:val="000000" w:themeColor="text1"/>
          <w:sz w:val="21"/>
          <w:szCs w:val="21"/>
        </w:rPr>
        <w:t xml:space="preserve">” said </w:t>
      </w:r>
      <w:r w:rsidR="00DB2075">
        <w:rPr>
          <w:rFonts w:eastAsia="Times New Roman" w:cs="Arial"/>
          <w:color w:val="000000" w:themeColor="text1"/>
          <w:sz w:val="21"/>
          <w:szCs w:val="21"/>
        </w:rPr>
        <w:t>Jay Johnson</w:t>
      </w:r>
      <w:r w:rsidR="00870AB2" w:rsidRPr="001942F5">
        <w:rPr>
          <w:rFonts w:eastAsia="Times New Roman" w:cs="Arial"/>
          <w:color w:val="000000" w:themeColor="text1"/>
          <w:sz w:val="21"/>
          <w:szCs w:val="21"/>
        </w:rPr>
        <w:t xml:space="preserve">, </w:t>
      </w:r>
      <w:r w:rsidR="00DB2075">
        <w:rPr>
          <w:rFonts w:eastAsia="Times New Roman" w:cs="Arial"/>
          <w:color w:val="000000" w:themeColor="text1"/>
          <w:sz w:val="21"/>
          <w:szCs w:val="21"/>
        </w:rPr>
        <w:t>President &amp; Treasurer of the Trust for Credit Unions and President of Callahan Financial Services, Inc</w:t>
      </w:r>
      <w:r w:rsidR="00870AB2" w:rsidRPr="001942F5">
        <w:rPr>
          <w:rFonts w:eastAsia="Times New Roman" w:cs="Arial"/>
          <w:color w:val="000000" w:themeColor="text1"/>
          <w:sz w:val="21"/>
          <w:szCs w:val="21"/>
        </w:rPr>
        <w:t>.</w:t>
      </w:r>
      <w:r w:rsidR="00DB2075">
        <w:rPr>
          <w:rFonts w:eastAsia="Times New Roman" w:cs="Arial"/>
          <w:color w:val="000000" w:themeColor="text1"/>
          <w:sz w:val="21"/>
          <w:szCs w:val="21"/>
        </w:rPr>
        <w:t xml:space="preserve"> “This new product launch will</w:t>
      </w:r>
      <w:r w:rsidR="006A007C">
        <w:rPr>
          <w:rFonts w:eastAsia="Times New Roman" w:cs="Arial"/>
          <w:color w:val="000000" w:themeColor="text1"/>
          <w:sz w:val="21"/>
          <w:szCs w:val="21"/>
        </w:rPr>
        <w:t xml:space="preserve"> </w:t>
      </w:r>
      <w:r w:rsidR="003D2AE9">
        <w:rPr>
          <w:rFonts w:eastAsia="Times New Roman" w:cs="Arial"/>
          <w:color w:val="000000" w:themeColor="text1"/>
          <w:sz w:val="21"/>
          <w:szCs w:val="21"/>
        </w:rPr>
        <w:t>allow</w:t>
      </w:r>
      <w:r w:rsidR="006A007C">
        <w:rPr>
          <w:rFonts w:eastAsia="Times New Roman" w:cs="Arial"/>
          <w:color w:val="000000" w:themeColor="text1"/>
          <w:sz w:val="21"/>
          <w:szCs w:val="21"/>
        </w:rPr>
        <w:t xml:space="preserve"> more credit unions to take advantage of the potential benefits pre-funding plans and </w:t>
      </w:r>
      <w:r w:rsidR="00002633">
        <w:rPr>
          <w:rFonts w:eastAsia="Times New Roman" w:cs="Arial"/>
          <w:color w:val="000000" w:themeColor="text1"/>
          <w:sz w:val="21"/>
          <w:szCs w:val="21"/>
        </w:rPr>
        <w:t>CDAs provide.</w:t>
      </w:r>
      <w:r w:rsidR="003D2AE9">
        <w:rPr>
          <w:rFonts w:eastAsia="Times New Roman" w:cs="Arial"/>
          <w:color w:val="000000" w:themeColor="text1"/>
          <w:sz w:val="21"/>
          <w:szCs w:val="21"/>
        </w:rPr>
        <w:t xml:space="preserve"> It will also provide a flexible, low-cost option for those looking to supplement </w:t>
      </w:r>
      <w:r w:rsidR="00DC50D7">
        <w:rPr>
          <w:rFonts w:eastAsia="Times New Roman" w:cs="Arial"/>
          <w:color w:val="000000" w:themeColor="text1"/>
          <w:sz w:val="21"/>
          <w:szCs w:val="21"/>
        </w:rPr>
        <w:t xml:space="preserve">or expand </w:t>
      </w:r>
      <w:r w:rsidR="003D2AE9">
        <w:rPr>
          <w:rFonts w:eastAsia="Times New Roman" w:cs="Arial"/>
          <w:color w:val="000000" w:themeColor="text1"/>
          <w:sz w:val="21"/>
          <w:szCs w:val="21"/>
        </w:rPr>
        <w:t>their existing programs.</w:t>
      </w:r>
      <w:r w:rsidR="00002633">
        <w:rPr>
          <w:rFonts w:eastAsia="Times New Roman" w:cs="Arial"/>
          <w:color w:val="000000" w:themeColor="text1"/>
          <w:sz w:val="21"/>
          <w:szCs w:val="21"/>
        </w:rPr>
        <w:t>”</w:t>
      </w:r>
      <w:r w:rsidR="00870AB2" w:rsidRPr="001942F5">
        <w:rPr>
          <w:rFonts w:eastAsia="Times New Roman" w:cs="Arial"/>
          <w:color w:val="000000" w:themeColor="text1"/>
          <w:sz w:val="21"/>
          <w:szCs w:val="21"/>
        </w:rPr>
        <w:t xml:space="preserve"> </w:t>
      </w:r>
    </w:p>
    <w:p w14:paraId="76A1BBC0" w14:textId="77777777" w:rsidR="00DC50D7" w:rsidRDefault="00DC50D7" w:rsidP="000141D8">
      <w:pPr>
        <w:spacing w:after="0" w:line="360" w:lineRule="auto"/>
        <w:rPr>
          <w:rFonts w:eastAsia="Times New Roman" w:cs="Arial"/>
          <w:color w:val="000000" w:themeColor="text1"/>
          <w:sz w:val="21"/>
          <w:szCs w:val="21"/>
        </w:rPr>
      </w:pPr>
    </w:p>
    <w:p w14:paraId="581C56DB" w14:textId="1367C71C" w:rsidR="00DC50D7" w:rsidRDefault="00DC50D7" w:rsidP="00DC50D7">
      <w:pPr>
        <w:spacing w:line="360" w:lineRule="auto"/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More</w:t>
      </w:r>
      <w:r w:rsidRPr="00354F5E">
        <w:rPr>
          <w:rFonts w:cs="Arial"/>
          <w:color w:val="000000" w:themeColor="text1"/>
          <w:sz w:val="21"/>
          <w:szCs w:val="21"/>
        </w:rPr>
        <w:t xml:space="preserve"> information</w:t>
      </w:r>
      <w:r>
        <w:rPr>
          <w:rFonts w:cs="Arial"/>
          <w:color w:val="000000" w:themeColor="text1"/>
          <w:sz w:val="21"/>
          <w:szCs w:val="21"/>
        </w:rPr>
        <w:t xml:space="preserve"> about the new portfolios is available at</w:t>
      </w:r>
      <w:r w:rsidRPr="00354F5E">
        <w:rPr>
          <w:rFonts w:cs="Arial"/>
          <w:color w:val="000000" w:themeColor="text1"/>
          <w:sz w:val="21"/>
          <w:szCs w:val="21"/>
        </w:rPr>
        <w:t xml:space="preserve"> </w:t>
      </w:r>
      <w:hyperlink r:id="rId9" w:history="1">
        <w:r w:rsidRPr="00A362A8">
          <w:rPr>
            <w:rStyle w:val="Hyperlink"/>
            <w:rFonts w:cs="Arial"/>
            <w:sz w:val="21"/>
            <w:szCs w:val="21"/>
          </w:rPr>
          <w:t>www.trustcu.com</w:t>
        </w:r>
      </w:hyperlink>
      <w:r>
        <w:rPr>
          <w:rFonts w:cs="Arial"/>
          <w:color w:val="000000" w:themeColor="text1"/>
          <w:sz w:val="21"/>
          <w:szCs w:val="21"/>
        </w:rPr>
        <w:t xml:space="preserve">. Interested credit unions may also </w:t>
      </w:r>
      <w:r w:rsidRPr="00354F5E">
        <w:rPr>
          <w:rFonts w:cs="Arial"/>
          <w:color w:val="000000" w:themeColor="text1"/>
          <w:sz w:val="21"/>
          <w:szCs w:val="21"/>
        </w:rPr>
        <w:t>contact TCU at 800-</w:t>
      </w:r>
      <w:r>
        <w:rPr>
          <w:rFonts w:cs="Arial"/>
          <w:color w:val="000000" w:themeColor="text1"/>
          <w:sz w:val="21"/>
          <w:szCs w:val="21"/>
        </w:rPr>
        <w:t>237</w:t>
      </w:r>
      <w:r w:rsidRPr="00354F5E">
        <w:rPr>
          <w:rFonts w:cs="Arial"/>
          <w:color w:val="000000" w:themeColor="text1"/>
          <w:sz w:val="21"/>
          <w:szCs w:val="21"/>
        </w:rPr>
        <w:t>-5678</w:t>
      </w:r>
      <w:r>
        <w:rPr>
          <w:rFonts w:cs="Arial"/>
          <w:color w:val="000000" w:themeColor="text1"/>
          <w:sz w:val="21"/>
          <w:szCs w:val="21"/>
        </w:rPr>
        <w:t xml:space="preserve"> or </w:t>
      </w:r>
      <w:hyperlink r:id="rId10" w:history="1">
        <w:r w:rsidRPr="00316495">
          <w:rPr>
            <w:rStyle w:val="Hyperlink"/>
            <w:rFonts w:cs="Arial"/>
            <w:sz w:val="21"/>
            <w:szCs w:val="21"/>
          </w:rPr>
          <w:t>tcugroup@callahan.com</w:t>
        </w:r>
      </w:hyperlink>
      <w:r>
        <w:rPr>
          <w:rFonts w:cs="Arial"/>
          <w:color w:val="000000" w:themeColor="text1"/>
          <w:sz w:val="21"/>
          <w:szCs w:val="21"/>
        </w:rPr>
        <w:t xml:space="preserve">. </w:t>
      </w:r>
    </w:p>
    <w:p w14:paraId="492F26C6" w14:textId="77777777" w:rsidR="000141D8" w:rsidRPr="000141D8" w:rsidRDefault="000141D8" w:rsidP="000141D8">
      <w:pPr>
        <w:spacing w:after="0" w:line="360" w:lineRule="auto"/>
        <w:rPr>
          <w:rFonts w:eastAsia="Times New Roman" w:cs="Arial"/>
          <w:color w:val="000000" w:themeColor="text1"/>
          <w:sz w:val="21"/>
          <w:szCs w:val="21"/>
        </w:rPr>
      </w:pPr>
    </w:p>
    <w:p w14:paraId="6BB9D18C" w14:textId="41E6B980" w:rsidR="00BC7CCD" w:rsidRDefault="002A2B1C" w:rsidP="00860777">
      <w:pPr>
        <w:spacing w:after="0" w:line="360" w:lineRule="auto"/>
        <w:rPr>
          <w:rFonts w:cs="Arial"/>
          <w:color w:val="000000" w:themeColor="text1"/>
          <w:sz w:val="21"/>
          <w:szCs w:val="21"/>
        </w:rPr>
      </w:pPr>
      <w:r w:rsidRPr="002A2B1C">
        <w:rPr>
          <w:rFonts w:eastAsia="Times New Roman" w:cs="Arial"/>
          <w:color w:val="000000" w:themeColor="text1"/>
          <w:sz w:val="21"/>
          <w:szCs w:val="21"/>
        </w:rPr>
        <w:t xml:space="preserve">TCU helps credit unions succeed by providing a professionally managed family of mutual funds --- exclusive to credit unions --- as well as the information and analysis they need to support investment decisions. Created by leading credit </w:t>
      </w:r>
      <w:r w:rsidR="00354F5E" w:rsidRPr="00354F5E">
        <w:rPr>
          <w:rFonts w:cs="Arial"/>
          <w:color w:val="000000" w:themeColor="text1"/>
          <w:sz w:val="21"/>
          <w:szCs w:val="21"/>
        </w:rPr>
        <w:t>unions with oversight by a board of trustees, TCU’s mutual fund options are professionally managed</w:t>
      </w:r>
      <w:r w:rsidR="00AB1702">
        <w:rPr>
          <w:rFonts w:cs="Arial"/>
          <w:color w:val="000000" w:themeColor="text1"/>
          <w:sz w:val="21"/>
          <w:szCs w:val="21"/>
        </w:rPr>
        <w:t xml:space="preserve"> </w:t>
      </w:r>
      <w:r w:rsidR="00354F5E" w:rsidRPr="00354F5E">
        <w:rPr>
          <w:rFonts w:cs="Arial"/>
          <w:color w:val="000000" w:themeColor="text1"/>
          <w:sz w:val="21"/>
          <w:szCs w:val="21"/>
        </w:rPr>
        <w:t xml:space="preserve">and are based on the cooperative values of credit unions. </w:t>
      </w:r>
    </w:p>
    <w:p w14:paraId="39AD9B3D" w14:textId="77777777" w:rsidR="003F7593" w:rsidRPr="003818DE" w:rsidRDefault="003F7593" w:rsidP="00860777">
      <w:pPr>
        <w:spacing w:after="0" w:line="360" w:lineRule="auto"/>
        <w:rPr>
          <w:rFonts w:eastAsia="Times New Roman" w:cs="Arial"/>
          <w:color w:val="000000" w:themeColor="text1"/>
          <w:sz w:val="21"/>
          <w:szCs w:val="21"/>
        </w:rPr>
      </w:pPr>
    </w:p>
    <w:p w14:paraId="18951A22" w14:textId="6CBBF96A" w:rsidR="00F2314F" w:rsidRPr="00F2314F" w:rsidRDefault="00F2314F" w:rsidP="00354F5E">
      <w:pPr>
        <w:spacing w:line="360" w:lineRule="auto"/>
        <w:rPr>
          <w:rFonts w:cs="Calibri"/>
          <w:b/>
          <w:bCs/>
          <w:color w:val="000000" w:themeColor="text1"/>
          <w:szCs w:val="18"/>
        </w:rPr>
      </w:pPr>
      <w:r w:rsidRPr="00F2314F">
        <w:rPr>
          <w:rFonts w:cs="Calibri"/>
          <w:b/>
          <w:bCs/>
          <w:color w:val="000000" w:themeColor="text1"/>
          <w:szCs w:val="18"/>
        </w:rPr>
        <w:t>About T</w:t>
      </w:r>
      <w:r w:rsidR="00A34B04">
        <w:rPr>
          <w:rFonts w:cs="Calibri"/>
          <w:b/>
          <w:bCs/>
          <w:color w:val="000000" w:themeColor="text1"/>
          <w:szCs w:val="18"/>
        </w:rPr>
        <w:t>rust for Credit Unions</w:t>
      </w:r>
    </w:p>
    <w:p w14:paraId="2B184BFE" w14:textId="21012AB8" w:rsidR="00B8720A" w:rsidRDefault="00B8720A" w:rsidP="00B8720A">
      <w:pPr>
        <w:rPr>
          <w:rFonts w:cs="Calibri"/>
          <w:color w:val="000000" w:themeColor="text1"/>
          <w:szCs w:val="18"/>
        </w:rPr>
      </w:pPr>
      <w:r w:rsidRPr="00F2314F">
        <w:rPr>
          <w:rFonts w:cs="Calibri"/>
          <w:bCs/>
          <w:color w:val="000000" w:themeColor="text1"/>
          <w:szCs w:val="18"/>
        </w:rPr>
        <w:t xml:space="preserve">The Trust for Credit Unions (TCU) </w:t>
      </w:r>
      <w:r w:rsidRPr="00F2314F">
        <w:rPr>
          <w:rFonts w:cs="Calibri"/>
          <w:color w:val="000000" w:themeColor="text1"/>
          <w:szCs w:val="18"/>
        </w:rPr>
        <w:t xml:space="preserve">is a family of institutional mutual funds offered exclusively to credit unions. </w:t>
      </w:r>
      <w:r w:rsidRPr="00F2314F">
        <w:rPr>
          <w:rFonts w:cs="Calibri"/>
          <w:bCs/>
          <w:color w:val="000000" w:themeColor="text1"/>
          <w:szCs w:val="18"/>
        </w:rPr>
        <w:t>Callahan Financial Services</w:t>
      </w:r>
      <w:r w:rsidRPr="00B8720A">
        <w:rPr>
          <w:rFonts w:cs="Calibri"/>
          <w:b/>
          <w:bCs/>
          <w:color w:val="000000" w:themeColor="text1"/>
          <w:szCs w:val="18"/>
        </w:rPr>
        <w:t xml:space="preserve"> </w:t>
      </w:r>
      <w:r w:rsidRPr="00B8720A">
        <w:rPr>
          <w:rFonts w:cs="Calibri"/>
          <w:color w:val="000000" w:themeColor="text1"/>
          <w:szCs w:val="18"/>
        </w:rPr>
        <w:t xml:space="preserve">is a wholly owned subsidiary of Callahan &amp; Associates and is the distributor of the TCU mutual funds. </w:t>
      </w:r>
      <w:r w:rsidR="002D37B4">
        <w:rPr>
          <w:rFonts w:cs="Calibri"/>
          <w:color w:val="000000" w:themeColor="text1"/>
          <w:szCs w:val="18"/>
        </w:rPr>
        <w:t>ALM First Financial Advisors, LLC</w:t>
      </w:r>
      <w:r w:rsidRPr="00B8720A">
        <w:rPr>
          <w:rFonts w:cs="Calibri"/>
          <w:color w:val="000000" w:themeColor="text1"/>
          <w:szCs w:val="18"/>
        </w:rPr>
        <w:t xml:space="preserve"> is the investment adviser of the TCU mutual funds. To obtain a prospectus that contains detailed fund information including investment </w:t>
      </w:r>
      <w:r w:rsidRPr="00B8720A">
        <w:rPr>
          <w:rFonts w:cs="Calibri"/>
          <w:color w:val="000000" w:themeColor="text1"/>
          <w:szCs w:val="18"/>
        </w:rPr>
        <w:lastRenderedPageBreak/>
        <w:t xml:space="preserve">policies, risk considerations, </w:t>
      </w:r>
      <w:proofErr w:type="gramStart"/>
      <w:r w:rsidRPr="00B8720A">
        <w:rPr>
          <w:rFonts w:cs="Calibri"/>
          <w:color w:val="000000" w:themeColor="text1"/>
          <w:szCs w:val="18"/>
        </w:rPr>
        <w:t>charges</w:t>
      </w:r>
      <w:proofErr w:type="gramEnd"/>
      <w:r w:rsidRPr="00B8720A">
        <w:rPr>
          <w:rFonts w:cs="Calibri"/>
          <w:color w:val="000000" w:themeColor="text1"/>
          <w:szCs w:val="18"/>
        </w:rPr>
        <w:t xml:space="preserve"> and expenses, call Callahan Financial Services, Inc. at 800-CFS-5678. Please read the prospectus carefully.</w:t>
      </w:r>
    </w:p>
    <w:p w14:paraId="44D0A47E" w14:textId="48CB87CB" w:rsidR="002779B9" w:rsidRDefault="00906A5B" w:rsidP="00B8720A">
      <w:pPr>
        <w:rPr>
          <w:rFonts w:cs="Calibri"/>
          <w:color w:val="000000" w:themeColor="text1"/>
          <w:szCs w:val="18"/>
        </w:rPr>
      </w:pPr>
      <w:r w:rsidRPr="00906A5B">
        <w:rPr>
          <w:rFonts w:cs="Calibri"/>
          <w:color w:val="000000" w:themeColor="text1"/>
          <w:szCs w:val="18"/>
        </w:rPr>
        <w:t xml:space="preserve">For </w:t>
      </w:r>
      <w:proofErr w:type="gramStart"/>
      <w:r w:rsidRPr="00906A5B">
        <w:rPr>
          <w:rFonts w:cs="Calibri"/>
          <w:color w:val="000000" w:themeColor="text1"/>
          <w:szCs w:val="18"/>
        </w:rPr>
        <w:t>questions</w:t>
      </w:r>
      <w:proofErr w:type="gramEnd"/>
      <w:r w:rsidRPr="00906A5B">
        <w:rPr>
          <w:rFonts w:cs="Calibri"/>
          <w:color w:val="000000" w:themeColor="text1"/>
          <w:szCs w:val="18"/>
        </w:rPr>
        <w:t xml:space="preserve"> please call the TCU Group at 1-800-237-5678.</w:t>
      </w:r>
    </w:p>
    <w:p w14:paraId="40AAC9AA" w14:textId="17068939" w:rsidR="00BB474E" w:rsidRPr="00DB2554" w:rsidRDefault="00B8720A" w:rsidP="00DB2554">
      <w:pPr>
        <w:spacing w:line="360" w:lineRule="auto"/>
        <w:jc w:val="center"/>
        <w:rPr>
          <w:color w:val="595959" w:themeColor="text1" w:themeTint="A6"/>
        </w:rPr>
      </w:pPr>
      <w:r w:rsidRPr="00B8720A">
        <w:rPr>
          <w:color w:val="595959" w:themeColor="text1" w:themeTint="A6"/>
        </w:rPr>
        <w:t># # #</w:t>
      </w:r>
    </w:p>
    <w:sectPr w:rsidR="00BB474E" w:rsidRPr="00DB2554" w:rsidSect="009729CA">
      <w:headerReference w:type="default" r:id="rId11"/>
      <w:footerReference w:type="default" r:id="rId12"/>
      <w:pgSz w:w="12240" w:h="15840"/>
      <w:pgMar w:top="32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A56EC" w14:textId="77777777" w:rsidR="000E0CD9" w:rsidRDefault="000E0CD9" w:rsidP="009729CA">
      <w:pPr>
        <w:spacing w:after="0" w:line="240" w:lineRule="auto"/>
      </w:pPr>
      <w:r>
        <w:separator/>
      </w:r>
    </w:p>
  </w:endnote>
  <w:endnote w:type="continuationSeparator" w:id="0">
    <w:p w14:paraId="5D5180A7" w14:textId="77777777" w:rsidR="000E0CD9" w:rsidRDefault="000E0CD9" w:rsidP="00972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20967" w14:textId="77777777" w:rsidR="00F23D12" w:rsidRPr="00F23D12" w:rsidRDefault="00F23D12">
    <w:pPr>
      <w:pStyle w:val="Footer"/>
      <w:rPr>
        <w:sz w:val="14"/>
        <w:szCs w:val="14"/>
      </w:rPr>
    </w:pPr>
    <w:r w:rsidRPr="00F23D12">
      <w:rPr>
        <w:sz w:val="14"/>
        <w:szCs w:val="14"/>
      </w:rPr>
      <w:t xml:space="preserve">1-800-237-5678 | </w:t>
    </w:r>
    <w:hyperlink r:id="rId1" w:history="1">
      <w:r w:rsidRPr="00F23D12">
        <w:rPr>
          <w:rStyle w:val="Hyperlink"/>
          <w:sz w:val="14"/>
          <w:szCs w:val="14"/>
        </w:rPr>
        <w:t>TCUgroup@trustcu.com</w:t>
      </w:r>
    </w:hyperlink>
  </w:p>
  <w:p w14:paraId="585F9573" w14:textId="77777777" w:rsidR="00F23D12" w:rsidRPr="00F23D12" w:rsidRDefault="00F23D12">
    <w:pPr>
      <w:pStyle w:val="Footer"/>
      <w:rPr>
        <w:sz w:val="14"/>
        <w:szCs w:val="14"/>
      </w:rPr>
    </w:pPr>
    <w:r w:rsidRPr="00F23D12">
      <w:rPr>
        <w:sz w:val="14"/>
        <w:szCs w:val="14"/>
      </w:rPr>
      <w:t>1001 Connecticut Ave, NW, Suite 1001, Washington DC 20036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848D3" w14:textId="77777777" w:rsidR="000E0CD9" w:rsidRDefault="000E0CD9" w:rsidP="009729CA">
      <w:pPr>
        <w:spacing w:after="0" w:line="240" w:lineRule="auto"/>
      </w:pPr>
      <w:r>
        <w:separator/>
      </w:r>
    </w:p>
  </w:footnote>
  <w:footnote w:type="continuationSeparator" w:id="0">
    <w:p w14:paraId="20050C68" w14:textId="77777777" w:rsidR="000E0CD9" w:rsidRDefault="000E0CD9" w:rsidP="00972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02BD" w14:textId="77777777" w:rsidR="009729CA" w:rsidRDefault="009729CA" w:rsidP="009729CA">
    <w:pPr>
      <w:pStyle w:val="Header"/>
      <w:ind w:left="-540"/>
    </w:pPr>
    <w:r>
      <w:rPr>
        <w:noProof/>
      </w:rPr>
      <w:drawing>
        <wp:inline distT="0" distB="0" distL="0" distR="0" wp14:anchorId="4C32A65B" wp14:editId="4E24C401">
          <wp:extent cx="6565811" cy="1407160"/>
          <wp:effectExtent l="0" t="0" r="698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U-Press release word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5811" cy="1407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9CA"/>
    <w:rsid w:val="00001EC4"/>
    <w:rsid w:val="00002633"/>
    <w:rsid w:val="00010D6C"/>
    <w:rsid w:val="000141D8"/>
    <w:rsid w:val="000149B6"/>
    <w:rsid w:val="00020489"/>
    <w:rsid w:val="00021FA9"/>
    <w:rsid w:val="00041928"/>
    <w:rsid w:val="000531B6"/>
    <w:rsid w:val="00057A6D"/>
    <w:rsid w:val="00075D97"/>
    <w:rsid w:val="000806ED"/>
    <w:rsid w:val="00084ACE"/>
    <w:rsid w:val="00087D88"/>
    <w:rsid w:val="00090254"/>
    <w:rsid w:val="00097C1A"/>
    <w:rsid w:val="000A4620"/>
    <w:rsid w:val="000A4BD3"/>
    <w:rsid w:val="000A56BD"/>
    <w:rsid w:val="000B16CA"/>
    <w:rsid w:val="000B2146"/>
    <w:rsid w:val="000B3FEB"/>
    <w:rsid w:val="000C1C85"/>
    <w:rsid w:val="000C53CB"/>
    <w:rsid w:val="000C63EC"/>
    <w:rsid w:val="000C67B0"/>
    <w:rsid w:val="000C7B17"/>
    <w:rsid w:val="000D0096"/>
    <w:rsid w:val="000D13AE"/>
    <w:rsid w:val="000D4532"/>
    <w:rsid w:val="000D5DB9"/>
    <w:rsid w:val="000E0CD9"/>
    <w:rsid w:val="000E38FE"/>
    <w:rsid w:val="000E49EF"/>
    <w:rsid w:val="000F44F9"/>
    <w:rsid w:val="00105F2C"/>
    <w:rsid w:val="001160B0"/>
    <w:rsid w:val="00120147"/>
    <w:rsid w:val="00123137"/>
    <w:rsid w:val="00127586"/>
    <w:rsid w:val="00135580"/>
    <w:rsid w:val="00136DF8"/>
    <w:rsid w:val="001412B2"/>
    <w:rsid w:val="00152D7B"/>
    <w:rsid w:val="00153644"/>
    <w:rsid w:val="00162799"/>
    <w:rsid w:val="00170EFB"/>
    <w:rsid w:val="00180A9C"/>
    <w:rsid w:val="00180AEB"/>
    <w:rsid w:val="0018300A"/>
    <w:rsid w:val="00184731"/>
    <w:rsid w:val="001942F5"/>
    <w:rsid w:val="00195F3D"/>
    <w:rsid w:val="001A4EEB"/>
    <w:rsid w:val="001A6D82"/>
    <w:rsid w:val="001B1E3C"/>
    <w:rsid w:val="001D3197"/>
    <w:rsid w:val="001D5426"/>
    <w:rsid w:val="001D55B1"/>
    <w:rsid w:val="001E131B"/>
    <w:rsid w:val="001E1903"/>
    <w:rsid w:val="001E19EA"/>
    <w:rsid w:val="001E499E"/>
    <w:rsid w:val="001F2862"/>
    <w:rsid w:val="002027A2"/>
    <w:rsid w:val="00205D0F"/>
    <w:rsid w:val="00214AE6"/>
    <w:rsid w:val="00214D7B"/>
    <w:rsid w:val="0023265C"/>
    <w:rsid w:val="00240A5D"/>
    <w:rsid w:val="00242068"/>
    <w:rsid w:val="00247263"/>
    <w:rsid w:val="00251D8C"/>
    <w:rsid w:val="00276DED"/>
    <w:rsid w:val="00277011"/>
    <w:rsid w:val="002779B9"/>
    <w:rsid w:val="00282B11"/>
    <w:rsid w:val="00295648"/>
    <w:rsid w:val="0029767C"/>
    <w:rsid w:val="002A1D91"/>
    <w:rsid w:val="002A2B1C"/>
    <w:rsid w:val="002A2E9C"/>
    <w:rsid w:val="002B6D93"/>
    <w:rsid w:val="002D37B4"/>
    <w:rsid w:val="002D7058"/>
    <w:rsid w:val="002D7C29"/>
    <w:rsid w:val="002E1184"/>
    <w:rsid w:val="002E4808"/>
    <w:rsid w:val="002F4C40"/>
    <w:rsid w:val="00320310"/>
    <w:rsid w:val="00323BCE"/>
    <w:rsid w:val="0032449E"/>
    <w:rsid w:val="003275EB"/>
    <w:rsid w:val="00340F1B"/>
    <w:rsid w:val="0034138D"/>
    <w:rsid w:val="00341417"/>
    <w:rsid w:val="00354F5E"/>
    <w:rsid w:val="00360CA3"/>
    <w:rsid w:val="00361268"/>
    <w:rsid w:val="00365D8D"/>
    <w:rsid w:val="0037060E"/>
    <w:rsid w:val="00374E96"/>
    <w:rsid w:val="00375EF4"/>
    <w:rsid w:val="003818DE"/>
    <w:rsid w:val="00386A69"/>
    <w:rsid w:val="003916F4"/>
    <w:rsid w:val="00394FD4"/>
    <w:rsid w:val="003A0F11"/>
    <w:rsid w:val="003A5FDE"/>
    <w:rsid w:val="003B3DEE"/>
    <w:rsid w:val="003C0EA7"/>
    <w:rsid w:val="003C16E4"/>
    <w:rsid w:val="003C71A8"/>
    <w:rsid w:val="003C7E31"/>
    <w:rsid w:val="003C7E69"/>
    <w:rsid w:val="003D1544"/>
    <w:rsid w:val="003D2AE9"/>
    <w:rsid w:val="003D6738"/>
    <w:rsid w:val="003D7082"/>
    <w:rsid w:val="003E611F"/>
    <w:rsid w:val="003F497D"/>
    <w:rsid w:val="003F7593"/>
    <w:rsid w:val="004037C8"/>
    <w:rsid w:val="0040566C"/>
    <w:rsid w:val="00417B6C"/>
    <w:rsid w:val="0042044A"/>
    <w:rsid w:val="00421B45"/>
    <w:rsid w:val="00433582"/>
    <w:rsid w:val="00435F68"/>
    <w:rsid w:val="004524B2"/>
    <w:rsid w:val="00462A5B"/>
    <w:rsid w:val="0046570E"/>
    <w:rsid w:val="00476EFD"/>
    <w:rsid w:val="00483999"/>
    <w:rsid w:val="004843E0"/>
    <w:rsid w:val="00494B02"/>
    <w:rsid w:val="004A5EEA"/>
    <w:rsid w:val="004B2D9B"/>
    <w:rsid w:val="004B4284"/>
    <w:rsid w:val="004B7708"/>
    <w:rsid w:val="004B79E9"/>
    <w:rsid w:val="004C33B2"/>
    <w:rsid w:val="004C7989"/>
    <w:rsid w:val="004D766C"/>
    <w:rsid w:val="004E243C"/>
    <w:rsid w:val="004F3971"/>
    <w:rsid w:val="0051285C"/>
    <w:rsid w:val="00512F4A"/>
    <w:rsid w:val="00514E57"/>
    <w:rsid w:val="00527B13"/>
    <w:rsid w:val="0053140B"/>
    <w:rsid w:val="00536939"/>
    <w:rsid w:val="00536A0F"/>
    <w:rsid w:val="00540E5D"/>
    <w:rsid w:val="00546AEC"/>
    <w:rsid w:val="00557E37"/>
    <w:rsid w:val="00561E12"/>
    <w:rsid w:val="0056359A"/>
    <w:rsid w:val="00566325"/>
    <w:rsid w:val="00570198"/>
    <w:rsid w:val="005753A2"/>
    <w:rsid w:val="005A0EB6"/>
    <w:rsid w:val="005A19C3"/>
    <w:rsid w:val="005A2FC0"/>
    <w:rsid w:val="005A5324"/>
    <w:rsid w:val="005A756F"/>
    <w:rsid w:val="005B2DD0"/>
    <w:rsid w:val="005B60D6"/>
    <w:rsid w:val="005B7B2A"/>
    <w:rsid w:val="005C27EE"/>
    <w:rsid w:val="005C2BF4"/>
    <w:rsid w:val="005C6440"/>
    <w:rsid w:val="005D7F31"/>
    <w:rsid w:val="005E1460"/>
    <w:rsid w:val="005E280D"/>
    <w:rsid w:val="005E3315"/>
    <w:rsid w:val="005E3CE3"/>
    <w:rsid w:val="005E5451"/>
    <w:rsid w:val="005E6C96"/>
    <w:rsid w:val="00605801"/>
    <w:rsid w:val="00605961"/>
    <w:rsid w:val="00622059"/>
    <w:rsid w:val="00623ED7"/>
    <w:rsid w:val="00626430"/>
    <w:rsid w:val="00630C4F"/>
    <w:rsid w:val="00656844"/>
    <w:rsid w:val="0065790C"/>
    <w:rsid w:val="00662D79"/>
    <w:rsid w:val="00670152"/>
    <w:rsid w:val="00685100"/>
    <w:rsid w:val="006912C5"/>
    <w:rsid w:val="00692B95"/>
    <w:rsid w:val="0069663D"/>
    <w:rsid w:val="00697055"/>
    <w:rsid w:val="006A007C"/>
    <w:rsid w:val="006A2B1F"/>
    <w:rsid w:val="006A2FF6"/>
    <w:rsid w:val="006A6E65"/>
    <w:rsid w:val="006E1514"/>
    <w:rsid w:val="00703407"/>
    <w:rsid w:val="00707DA0"/>
    <w:rsid w:val="007143D7"/>
    <w:rsid w:val="00720879"/>
    <w:rsid w:val="00724188"/>
    <w:rsid w:val="0073209F"/>
    <w:rsid w:val="007371F6"/>
    <w:rsid w:val="00737BCB"/>
    <w:rsid w:val="00744183"/>
    <w:rsid w:val="007572C9"/>
    <w:rsid w:val="0078403E"/>
    <w:rsid w:val="00787F3B"/>
    <w:rsid w:val="00794DC7"/>
    <w:rsid w:val="007A115D"/>
    <w:rsid w:val="007A1E06"/>
    <w:rsid w:val="007A602D"/>
    <w:rsid w:val="007A7D92"/>
    <w:rsid w:val="007C334E"/>
    <w:rsid w:val="007C3484"/>
    <w:rsid w:val="007C7A91"/>
    <w:rsid w:val="007D0631"/>
    <w:rsid w:val="007E2E59"/>
    <w:rsid w:val="007E459D"/>
    <w:rsid w:val="007E5C5A"/>
    <w:rsid w:val="007F758B"/>
    <w:rsid w:val="00804707"/>
    <w:rsid w:val="008357D6"/>
    <w:rsid w:val="00835B58"/>
    <w:rsid w:val="00843030"/>
    <w:rsid w:val="00846FC8"/>
    <w:rsid w:val="00850930"/>
    <w:rsid w:val="0085394C"/>
    <w:rsid w:val="00855C29"/>
    <w:rsid w:val="00860777"/>
    <w:rsid w:val="00863E07"/>
    <w:rsid w:val="00866337"/>
    <w:rsid w:val="00870AB2"/>
    <w:rsid w:val="00873A81"/>
    <w:rsid w:val="0087536A"/>
    <w:rsid w:val="00875A74"/>
    <w:rsid w:val="00881040"/>
    <w:rsid w:val="0088634D"/>
    <w:rsid w:val="00886E6D"/>
    <w:rsid w:val="008A30A0"/>
    <w:rsid w:val="008A38DF"/>
    <w:rsid w:val="008B0768"/>
    <w:rsid w:val="008C003D"/>
    <w:rsid w:val="008C6D91"/>
    <w:rsid w:val="008D18BF"/>
    <w:rsid w:val="008D1C01"/>
    <w:rsid w:val="008D2439"/>
    <w:rsid w:val="008D60A1"/>
    <w:rsid w:val="008E2372"/>
    <w:rsid w:val="008E341D"/>
    <w:rsid w:val="008E5C9B"/>
    <w:rsid w:val="008F0DE3"/>
    <w:rsid w:val="008F3F09"/>
    <w:rsid w:val="008F5D28"/>
    <w:rsid w:val="00903D94"/>
    <w:rsid w:val="00904B45"/>
    <w:rsid w:val="00906A5B"/>
    <w:rsid w:val="009256DE"/>
    <w:rsid w:val="00945BAB"/>
    <w:rsid w:val="0095115F"/>
    <w:rsid w:val="00952CC4"/>
    <w:rsid w:val="009665D5"/>
    <w:rsid w:val="009729CA"/>
    <w:rsid w:val="00983C58"/>
    <w:rsid w:val="0098687E"/>
    <w:rsid w:val="0099046F"/>
    <w:rsid w:val="009A4CC8"/>
    <w:rsid w:val="009A4EE8"/>
    <w:rsid w:val="009B2369"/>
    <w:rsid w:val="009C00FB"/>
    <w:rsid w:val="009C270A"/>
    <w:rsid w:val="009C44F6"/>
    <w:rsid w:val="009C6749"/>
    <w:rsid w:val="009E27D9"/>
    <w:rsid w:val="009E61D3"/>
    <w:rsid w:val="009F12F6"/>
    <w:rsid w:val="00A06B44"/>
    <w:rsid w:val="00A1137E"/>
    <w:rsid w:val="00A13EB2"/>
    <w:rsid w:val="00A240AE"/>
    <w:rsid w:val="00A25269"/>
    <w:rsid w:val="00A31326"/>
    <w:rsid w:val="00A34B04"/>
    <w:rsid w:val="00A3512B"/>
    <w:rsid w:val="00A35B94"/>
    <w:rsid w:val="00A362A8"/>
    <w:rsid w:val="00A36870"/>
    <w:rsid w:val="00A368E4"/>
    <w:rsid w:val="00A40DF7"/>
    <w:rsid w:val="00A41955"/>
    <w:rsid w:val="00A42D50"/>
    <w:rsid w:val="00A50348"/>
    <w:rsid w:val="00A512E5"/>
    <w:rsid w:val="00A53509"/>
    <w:rsid w:val="00A66AF5"/>
    <w:rsid w:val="00A66ED1"/>
    <w:rsid w:val="00A720E6"/>
    <w:rsid w:val="00A730BE"/>
    <w:rsid w:val="00A73D5B"/>
    <w:rsid w:val="00A76B58"/>
    <w:rsid w:val="00A9141D"/>
    <w:rsid w:val="00A9149A"/>
    <w:rsid w:val="00A94173"/>
    <w:rsid w:val="00A962FB"/>
    <w:rsid w:val="00A96E3E"/>
    <w:rsid w:val="00AA0DC4"/>
    <w:rsid w:val="00AA7218"/>
    <w:rsid w:val="00AB1702"/>
    <w:rsid w:val="00AB335F"/>
    <w:rsid w:val="00AB522F"/>
    <w:rsid w:val="00AC162D"/>
    <w:rsid w:val="00AC3897"/>
    <w:rsid w:val="00AC4675"/>
    <w:rsid w:val="00AD172C"/>
    <w:rsid w:val="00AD19F8"/>
    <w:rsid w:val="00AD450C"/>
    <w:rsid w:val="00AD6376"/>
    <w:rsid w:val="00AD7EA1"/>
    <w:rsid w:val="00AE795C"/>
    <w:rsid w:val="00AF3C58"/>
    <w:rsid w:val="00B000B9"/>
    <w:rsid w:val="00B00A90"/>
    <w:rsid w:val="00B01D9D"/>
    <w:rsid w:val="00B121AA"/>
    <w:rsid w:val="00B1771D"/>
    <w:rsid w:val="00B23928"/>
    <w:rsid w:val="00B23DB5"/>
    <w:rsid w:val="00B35690"/>
    <w:rsid w:val="00B42567"/>
    <w:rsid w:val="00B4698A"/>
    <w:rsid w:val="00B46B34"/>
    <w:rsid w:val="00B575CD"/>
    <w:rsid w:val="00B660A2"/>
    <w:rsid w:val="00B71445"/>
    <w:rsid w:val="00B732D5"/>
    <w:rsid w:val="00B772DB"/>
    <w:rsid w:val="00B77342"/>
    <w:rsid w:val="00B80D34"/>
    <w:rsid w:val="00B80F78"/>
    <w:rsid w:val="00B8720A"/>
    <w:rsid w:val="00B91AD6"/>
    <w:rsid w:val="00BA53FE"/>
    <w:rsid w:val="00BA7ABD"/>
    <w:rsid w:val="00BB474E"/>
    <w:rsid w:val="00BB6205"/>
    <w:rsid w:val="00BB7637"/>
    <w:rsid w:val="00BC3DAE"/>
    <w:rsid w:val="00BC5D94"/>
    <w:rsid w:val="00BC667B"/>
    <w:rsid w:val="00BC7CCD"/>
    <w:rsid w:val="00BD2868"/>
    <w:rsid w:val="00BE59B5"/>
    <w:rsid w:val="00C149F5"/>
    <w:rsid w:val="00C27C2D"/>
    <w:rsid w:val="00C35FDD"/>
    <w:rsid w:val="00C516D4"/>
    <w:rsid w:val="00C5721D"/>
    <w:rsid w:val="00C67E7D"/>
    <w:rsid w:val="00C700DD"/>
    <w:rsid w:val="00C721E4"/>
    <w:rsid w:val="00C836F9"/>
    <w:rsid w:val="00C853D2"/>
    <w:rsid w:val="00C8703D"/>
    <w:rsid w:val="00C919C1"/>
    <w:rsid w:val="00C94057"/>
    <w:rsid w:val="00CA1D9B"/>
    <w:rsid w:val="00CA3326"/>
    <w:rsid w:val="00CA37A9"/>
    <w:rsid w:val="00CA6E0D"/>
    <w:rsid w:val="00CB5BA8"/>
    <w:rsid w:val="00CC2AE6"/>
    <w:rsid w:val="00CC5ECB"/>
    <w:rsid w:val="00CD1ED5"/>
    <w:rsid w:val="00CD2E18"/>
    <w:rsid w:val="00CD6631"/>
    <w:rsid w:val="00CD6972"/>
    <w:rsid w:val="00CE22CA"/>
    <w:rsid w:val="00CE4663"/>
    <w:rsid w:val="00CE50D6"/>
    <w:rsid w:val="00CE542D"/>
    <w:rsid w:val="00CF224D"/>
    <w:rsid w:val="00CF2988"/>
    <w:rsid w:val="00CF3150"/>
    <w:rsid w:val="00CF6532"/>
    <w:rsid w:val="00CF7870"/>
    <w:rsid w:val="00D065DA"/>
    <w:rsid w:val="00D077BB"/>
    <w:rsid w:val="00D115DC"/>
    <w:rsid w:val="00D14850"/>
    <w:rsid w:val="00D211CB"/>
    <w:rsid w:val="00D22EC1"/>
    <w:rsid w:val="00D32A26"/>
    <w:rsid w:val="00D35A96"/>
    <w:rsid w:val="00D44ED6"/>
    <w:rsid w:val="00D4642E"/>
    <w:rsid w:val="00D474C7"/>
    <w:rsid w:val="00D51840"/>
    <w:rsid w:val="00D52346"/>
    <w:rsid w:val="00D60B09"/>
    <w:rsid w:val="00D74CE0"/>
    <w:rsid w:val="00D7764F"/>
    <w:rsid w:val="00D8102A"/>
    <w:rsid w:val="00D81BDA"/>
    <w:rsid w:val="00D91E87"/>
    <w:rsid w:val="00D96CC0"/>
    <w:rsid w:val="00D97909"/>
    <w:rsid w:val="00DA00A2"/>
    <w:rsid w:val="00DA1E2C"/>
    <w:rsid w:val="00DA297E"/>
    <w:rsid w:val="00DA4FA4"/>
    <w:rsid w:val="00DB0156"/>
    <w:rsid w:val="00DB2075"/>
    <w:rsid w:val="00DB2554"/>
    <w:rsid w:val="00DB2AEA"/>
    <w:rsid w:val="00DB709C"/>
    <w:rsid w:val="00DC4224"/>
    <w:rsid w:val="00DC50D7"/>
    <w:rsid w:val="00DD12C7"/>
    <w:rsid w:val="00DD7FBF"/>
    <w:rsid w:val="00DF2DC7"/>
    <w:rsid w:val="00DF51CB"/>
    <w:rsid w:val="00DF5276"/>
    <w:rsid w:val="00E03B6B"/>
    <w:rsid w:val="00E04B10"/>
    <w:rsid w:val="00E05725"/>
    <w:rsid w:val="00E072AF"/>
    <w:rsid w:val="00E137FA"/>
    <w:rsid w:val="00E308D7"/>
    <w:rsid w:val="00E440D7"/>
    <w:rsid w:val="00E51EB1"/>
    <w:rsid w:val="00E57550"/>
    <w:rsid w:val="00E60F05"/>
    <w:rsid w:val="00E61180"/>
    <w:rsid w:val="00E77961"/>
    <w:rsid w:val="00E85860"/>
    <w:rsid w:val="00E935AD"/>
    <w:rsid w:val="00E95F16"/>
    <w:rsid w:val="00E96B27"/>
    <w:rsid w:val="00E97C9B"/>
    <w:rsid w:val="00EA00F9"/>
    <w:rsid w:val="00EA13AC"/>
    <w:rsid w:val="00EA255E"/>
    <w:rsid w:val="00EA2E00"/>
    <w:rsid w:val="00EC29BC"/>
    <w:rsid w:val="00EC4561"/>
    <w:rsid w:val="00EC5446"/>
    <w:rsid w:val="00EC6C5B"/>
    <w:rsid w:val="00EC7018"/>
    <w:rsid w:val="00ED3A00"/>
    <w:rsid w:val="00ED5077"/>
    <w:rsid w:val="00ED543D"/>
    <w:rsid w:val="00EE090D"/>
    <w:rsid w:val="00EF0130"/>
    <w:rsid w:val="00EF5A66"/>
    <w:rsid w:val="00F024A7"/>
    <w:rsid w:val="00F13A35"/>
    <w:rsid w:val="00F14430"/>
    <w:rsid w:val="00F14A8A"/>
    <w:rsid w:val="00F2314F"/>
    <w:rsid w:val="00F23D12"/>
    <w:rsid w:val="00F2623A"/>
    <w:rsid w:val="00F26B67"/>
    <w:rsid w:val="00F33721"/>
    <w:rsid w:val="00F37AF3"/>
    <w:rsid w:val="00F40D5D"/>
    <w:rsid w:val="00F43418"/>
    <w:rsid w:val="00F57885"/>
    <w:rsid w:val="00F76CC3"/>
    <w:rsid w:val="00F87A59"/>
    <w:rsid w:val="00F94686"/>
    <w:rsid w:val="00F97141"/>
    <w:rsid w:val="00FA40F3"/>
    <w:rsid w:val="00FB2A18"/>
    <w:rsid w:val="00FB3AB3"/>
    <w:rsid w:val="00FB48F6"/>
    <w:rsid w:val="00FB5608"/>
    <w:rsid w:val="00FD6788"/>
    <w:rsid w:val="00FE0AC9"/>
    <w:rsid w:val="00FE2E4C"/>
    <w:rsid w:val="00FE321D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AFAB3"/>
  <w15:docId w15:val="{E5DDC3B1-A634-4E03-A616-5CEBF679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CA"/>
    <w:rPr>
      <w:rFonts w:ascii="Verdana" w:hAnsi="Verdana"/>
      <w:sz w:val="18"/>
    </w:rPr>
  </w:style>
  <w:style w:type="paragraph" w:styleId="Heading4">
    <w:name w:val="heading 4"/>
    <w:basedOn w:val="Normal"/>
    <w:link w:val="Heading4Char"/>
    <w:uiPriority w:val="9"/>
    <w:qFormat/>
    <w:rsid w:val="00B8720A"/>
    <w:pPr>
      <w:spacing w:after="150" w:line="240" w:lineRule="auto"/>
      <w:outlineLvl w:val="3"/>
    </w:pPr>
    <w:rPr>
      <w:rFonts w:ascii="Arial" w:eastAsia="Times New Roman" w:hAnsi="Arial" w:cs="Arial"/>
      <w:b/>
      <w:bCs/>
      <w:color w:val="202020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9CA"/>
  </w:style>
  <w:style w:type="paragraph" w:styleId="Footer">
    <w:name w:val="footer"/>
    <w:basedOn w:val="Normal"/>
    <w:link w:val="FooterChar"/>
    <w:uiPriority w:val="99"/>
    <w:unhideWhenUsed/>
    <w:rsid w:val="00972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9CA"/>
  </w:style>
  <w:style w:type="paragraph" w:styleId="BalloonText">
    <w:name w:val="Balloon Text"/>
    <w:basedOn w:val="Normal"/>
    <w:link w:val="BalloonTextChar"/>
    <w:uiPriority w:val="99"/>
    <w:semiHidden/>
    <w:unhideWhenUsed/>
    <w:rsid w:val="0097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9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3D12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8720A"/>
    <w:rPr>
      <w:rFonts w:ascii="Arial" w:eastAsia="Times New Roman" w:hAnsi="Arial" w:cs="Arial"/>
      <w:b/>
      <w:bCs/>
      <w:color w:val="202020"/>
      <w:sz w:val="33"/>
      <w:szCs w:val="33"/>
    </w:rPr>
  </w:style>
  <w:style w:type="paragraph" w:customStyle="1" w:styleId="Default">
    <w:name w:val="Default"/>
    <w:rsid w:val="00B8720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A2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B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B1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B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B1F"/>
    <w:rPr>
      <w:rFonts w:ascii="Verdana" w:hAnsi="Verdan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2B1F"/>
    <w:pPr>
      <w:spacing w:after="0" w:line="240" w:lineRule="auto"/>
    </w:pPr>
    <w:rPr>
      <w:rFonts w:ascii="Verdana" w:hAnsi="Verdana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E19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impson@callahan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tcugroup@callahan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.docs.live.net/7459ce722c49037d/Documents/www.trustcu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CUgroup@trustc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Mhoopes</dc:creator>
  <cp:lastModifiedBy>Sharon Simpson</cp:lastModifiedBy>
  <cp:revision>2</cp:revision>
  <dcterms:created xsi:type="dcterms:W3CDTF">2022-09-12T19:24:00Z</dcterms:created>
  <dcterms:modified xsi:type="dcterms:W3CDTF">2022-09-12T19:24:00Z</dcterms:modified>
</cp:coreProperties>
</file>