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4D518" w14:textId="785D19D0" w:rsidR="008433C0" w:rsidRPr="008433C0" w:rsidRDefault="008433C0" w:rsidP="005F330C">
      <w:pPr>
        <w:spacing w:after="0"/>
        <w:rPr>
          <w:b/>
          <w:bCs/>
        </w:rPr>
      </w:pPr>
      <w:r w:rsidRPr="008433C0">
        <w:rPr>
          <w:b/>
          <w:bCs/>
        </w:rPr>
        <w:t xml:space="preserve">CU Strategic Planning Applauds </w:t>
      </w:r>
      <w:r w:rsidR="001B25F1">
        <w:rPr>
          <w:b/>
          <w:bCs/>
        </w:rPr>
        <w:t>Intact</w:t>
      </w:r>
      <w:r w:rsidRPr="008433C0">
        <w:rPr>
          <w:b/>
          <w:bCs/>
        </w:rPr>
        <w:t xml:space="preserve"> CDFI Fund </w:t>
      </w:r>
      <w:r w:rsidR="001B25F1">
        <w:rPr>
          <w:b/>
          <w:bCs/>
        </w:rPr>
        <w:t>Budget Following Brief Government Shutdown</w:t>
      </w:r>
    </w:p>
    <w:p w14:paraId="0DDFD25D" w14:textId="3FB27051" w:rsidR="008433C0" w:rsidRPr="008433C0" w:rsidRDefault="008433C0" w:rsidP="008433C0">
      <w:pPr>
        <w:rPr>
          <w:i/>
          <w:iCs/>
        </w:rPr>
      </w:pPr>
      <w:r w:rsidRPr="008433C0">
        <w:rPr>
          <w:i/>
          <w:iCs/>
        </w:rPr>
        <w:t xml:space="preserve">CDFI Fund </w:t>
      </w:r>
      <w:r w:rsidR="001B25F1">
        <w:rPr>
          <w:i/>
          <w:iCs/>
        </w:rPr>
        <w:t>m</w:t>
      </w:r>
      <w:r w:rsidRPr="008433C0">
        <w:rPr>
          <w:i/>
          <w:iCs/>
        </w:rPr>
        <w:t>aintains $334</w:t>
      </w:r>
      <w:r w:rsidR="001B25F1">
        <w:rPr>
          <w:i/>
          <w:iCs/>
        </w:rPr>
        <w:t xml:space="preserve"> m</w:t>
      </w:r>
      <w:r w:rsidRPr="008433C0">
        <w:rPr>
          <w:i/>
          <w:iCs/>
        </w:rPr>
        <w:t xml:space="preserve">illion </w:t>
      </w:r>
      <w:r w:rsidR="001B25F1">
        <w:rPr>
          <w:i/>
          <w:iCs/>
        </w:rPr>
        <w:t>a</w:t>
      </w:r>
      <w:r w:rsidRPr="008433C0">
        <w:rPr>
          <w:i/>
          <w:iCs/>
        </w:rPr>
        <w:t>ppropriation for 2026</w:t>
      </w:r>
    </w:p>
    <w:p w14:paraId="5E95E8B0" w14:textId="450328FD" w:rsidR="008433C0" w:rsidRPr="008433C0" w:rsidRDefault="008433C0" w:rsidP="008433C0">
      <w:r w:rsidRPr="008433C0">
        <w:t>WASHINGTON, DC –</w:t>
      </w:r>
      <w:r>
        <w:t xml:space="preserve"> </w:t>
      </w:r>
      <w:hyperlink r:id="rId6" w:history="1">
        <w:r w:rsidRPr="008433C0">
          <w:rPr>
            <w:rStyle w:val="Hyperlink"/>
          </w:rPr>
          <w:t>CU Strategic Planning</w:t>
        </w:r>
      </w:hyperlink>
      <w:r w:rsidRPr="008433C0">
        <w:t xml:space="preserve">, a leading provider </w:t>
      </w:r>
      <w:r>
        <w:t>for mission-focused credit unions</w:t>
      </w:r>
      <w:r w:rsidRPr="008433C0">
        <w:t xml:space="preserve">, </w:t>
      </w:r>
      <w:r>
        <w:t>expressed gratitude to</w:t>
      </w:r>
      <w:r w:rsidRPr="008433C0">
        <w:t xml:space="preserve"> Congress for maintaining the $334 million appropriation for the Community Development Financial Institutions (CDFI) Fund in the recently passed continuing resolution that ended the brief federal government shutdown.</w:t>
      </w:r>
    </w:p>
    <w:p w14:paraId="56EC1226" w14:textId="0F5012C4" w:rsidR="008433C0" w:rsidRPr="008433C0" w:rsidRDefault="00AC0A1E" w:rsidP="008433C0">
      <w:r>
        <w:t>“</w:t>
      </w:r>
      <w:r w:rsidR="008433C0" w:rsidRPr="008433C0">
        <w:t>It</w:t>
      </w:r>
      <w:r>
        <w:t>’</w:t>
      </w:r>
      <w:r w:rsidR="008433C0" w:rsidRPr="008433C0">
        <w:t>s good to see that we</w:t>
      </w:r>
      <w:r>
        <w:t>’</w:t>
      </w:r>
      <w:r w:rsidR="008433C0" w:rsidRPr="008433C0">
        <w:t>re back to a normal funding process for the CDFI Fund,</w:t>
      </w:r>
      <w:r>
        <w:t>”</w:t>
      </w:r>
      <w:r w:rsidR="008433C0" w:rsidRPr="008433C0">
        <w:t xml:space="preserve"> CU Strategic Planning </w:t>
      </w:r>
      <w:r w:rsidR="008433C0">
        <w:t xml:space="preserve">CXO </w:t>
      </w:r>
      <w:r w:rsidR="008433C0" w:rsidRPr="008433C0">
        <w:t>Mike Beall</w:t>
      </w:r>
      <w:r w:rsidR="008433C0">
        <w:t xml:space="preserve"> stated</w:t>
      </w:r>
      <w:r w:rsidR="008433C0" w:rsidRPr="008433C0">
        <w:t xml:space="preserve">. </w:t>
      </w:r>
      <w:r>
        <w:t>“</w:t>
      </w:r>
      <w:r w:rsidR="008433C0" w:rsidRPr="008433C0">
        <w:t>This paves the way for continued appropriations success in 2027.</w:t>
      </w:r>
      <w:r>
        <w:t>”</w:t>
      </w:r>
    </w:p>
    <w:p w14:paraId="3981198A" w14:textId="27BFEEAE" w:rsidR="008433C0" w:rsidRPr="008433C0" w:rsidRDefault="008433C0" w:rsidP="008433C0">
      <w:r w:rsidRPr="008433C0">
        <w:t xml:space="preserve">The appropriation represents a critical victory for the </w:t>
      </w:r>
      <w:r w:rsidR="008921FC">
        <w:t>nearly 1</w:t>
      </w:r>
      <w:r w:rsidR="00F6237F">
        <w:t>,</w:t>
      </w:r>
      <w:r w:rsidR="008921FC">
        <w:t>400</w:t>
      </w:r>
      <w:r w:rsidR="008921FC" w:rsidRPr="008433C0">
        <w:t xml:space="preserve"> </w:t>
      </w:r>
      <w:r w:rsidR="008921FC">
        <w:t xml:space="preserve">certified </w:t>
      </w:r>
      <w:r w:rsidRPr="008433C0">
        <w:t>CDFI</w:t>
      </w:r>
      <w:r w:rsidR="008921FC">
        <w:t xml:space="preserve">s nationwide, a third of which are </w:t>
      </w:r>
      <w:r w:rsidRPr="008433C0">
        <w:t>credit unions</w:t>
      </w:r>
      <w:r w:rsidR="008921FC">
        <w:t>,</w:t>
      </w:r>
      <w:r w:rsidRPr="008433C0">
        <w:t xml:space="preserve"> that rely on grant funding to expand financial services in communities often overlooked by traditional financial institutions. Recent research from </w:t>
      </w:r>
      <w:hyperlink r:id="rId7" w:history="1">
        <w:r w:rsidRPr="008433C0">
          <w:rPr>
            <w:rStyle w:val="Hyperlink"/>
          </w:rPr>
          <w:t>Filene Research Institute</w:t>
        </w:r>
      </w:hyperlink>
      <w:r w:rsidRPr="008433C0">
        <w:t xml:space="preserve"> demonstrates that CDFI credit unions achieve stronger financial performance than their non-CDFI counterparts while simultaneously serving underserved populations—member growth rates nearly double, loan growth increases by over 50% and asset growth outpaces peers by 1.77 percentage points.</w:t>
      </w:r>
    </w:p>
    <w:p w14:paraId="28BDA5E4" w14:textId="41BDADD3" w:rsidR="008433C0" w:rsidRPr="008433C0" w:rsidRDefault="00AC0A1E" w:rsidP="008433C0">
      <w:r>
        <w:t>“</w:t>
      </w:r>
      <w:r w:rsidR="008433C0" w:rsidRPr="008433C0">
        <w:t>We are very pleased that Congress has fully funded the CDFI Fund for 2026,</w:t>
      </w:r>
      <w:r>
        <w:t>”</w:t>
      </w:r>
      <w:r w:rsidR="008433C0" w:rsidRPr="008433C0">
        <w:t xml:space="preserve"> Judy DeLucca, CEO of New Orleans Firemen</w:t>
      </w:r>
      <w:r>
        <w:t>’</w:t>
      </w:r>
      <w:r w:rsidR="008433C0" w:rsidRPr="008433C0">
        <w:t>s Federal Credit Union</w:t>
      </w:r>
      <w:r>
        <w:t>, said</w:t>
      </w:r>
      <w:r w:rsidR="008433C0" w:rsidRPr="008433C0">
        <w:t xml:space="preserve">. </w:t>
      </w:r>
      <w:r>
        <w:t>“</w:t>
      </w:r>
      <w:r w:rsidR="008433C0" w:rsidRPr="008433C0">
        <w:t>This critical support allows us to continue doing the important work of serving people who deserve access to fair and affordable financial services, and it represents a meaningful win for small credit unions across the country. This is exactly the outcome we hoped for.</w:t>
      </w:r>
      <w:r>
        <w:t>”</w:t>
      </w:r>
    </w:p>
    <w:p w14:paraId="0E91DEBE" w14:textId="2DEA25F6" w:rsidR="008433C0" w:rsidRDefault="00AF0073" w:rsidP="008433C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0D410" wp14:editId="134C54FF">
                <wp:simplePos x="0" y="0"/>
                <wp:positionH relativeFrom="column">
                  <wp:posOffset>2046186</wp:posOffset>
                </wp:positionH>
                <wp:positionV relativeFrom="paragraph">
                  <wp:posOffset>615882</wp:posOffset>
                </wp:positionV>
                <wp:extent cx="2514600" cy="1212850"/>
                <wp:effectExtent l="0" t="0" r="0" b="0"/>
                <wp:wrapSquare wrapText="bothSides"/>
                <wp:docPr id="7395697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212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94E076" w14:textId="77777777" w:rsidR="001B25F1" w:rsidRDefault="001B25F1" w:rsidP="001B25F1">
                            <w:pPr>
                              <w:spacing w:after="0"/>
                              <w:jc w:val="right"/>
                              <w:rPr>
                                <w:rFonts w:ascii="Aparajita" w:hAnsi="Aparajita" w:cs="Aparajita"/>
                              </w:rPr>
                            </w:pPr>
                          </w:p>
                          <w:p w14:paraId="5C8F4ECC" w14:textId="62F4953F" w:rsidR="0024738C" w:rsidRPr="001B25F1" w:rsidRDefault="00AC0A1E" w:rsidP="001B25F1">
                            <w:pPr>
                              <w:spacing w:after="0" w:line="240" w:lineRule="auto"/>
                              <w:jc w:val="right"/>
                              <w:rPr>
                                <w:rFonts w:ascii="Aparajita" w:hAnsi="Aparajita" w:cs="Aparajit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parajita" w:hAnsi="Aparajita" w:cs="Aparajita"/>
                                <w:sz w:val="32"/>
                                <w:szCs w:val="32"/>
                              </w:rPr>
                              <w:t>“</w:t>
                            </w:r>
                            <w:r w:rsidR="0024738C" w:rsidRPr="008433C0">
                              <w:rPr>
                                <w:rFonts w:ascii="Aparajita" w:hAnsi="Aparajita" w:cs="Aparajita"/>
                                <w:sz w:val="32"/>
                                <w:szCs w:val="32"/>
                              </w:rPr>
                              <w:t>I strongly believe that this partnership played a key role in ensuring the future of the Fund.</w:t>
                            </w:r>
                            <w:r>
                              <w:rPr>
                                <w:rFonts w:ascii="Aparajita" w:hAnsi="Aparajita" w:cs="Aparajita"/>
                                <w:sz w:val="32"/>
                                <w:szCs w:val="32"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F0D4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61.1pt;margin-top:48.5pt;width:198pt;height:9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" filled="f" stroked="f" strokeweight=".5pt">
                <v:textbox>
                  <w:txbxContent>
                    <w:p w14:paraId="3A94E076" w14:textId="77777777" w:rsidR="001B25F1" w:rsidRDefault="001B25F1" w:rsidP="001B25F1">
                      <w:pPr>
                        <w:spacing w:after="0"/>
                        <w:jc w:val="right"/>
                        <w:rPr>
                          <w:rFonts w:ascii="Aparajita" w:hAnsi="Aparajita" w:cs="Aparajita"/>
                        </w:rPr>
                      </w:pPr>
                    </w:p>
                    <w:p w14:paraId="5C8F4ECC" w14:textId="62F4953F" w:rsidR="0024738C" w:rsidRPr="001B25F1" w:rsidRDefault="00AC0A1E" w:rsidP="001B25F1">
                      <w:pPr>
                        <w:spacing w:after="0" w:line="240" w:lineRule="auto"/>
                        <w:jc w:val="right"/>
                        <w:rPr>
                          <w:rFonts w:ascii="Aparajita" w:hAnsi="Aparajita" w:cs="Aparajita"/>
                          <w:sz w:val="32"/>
                          <w:szCs w:val="32"/>
                        </w:rPr>
                      </w:pPr>
                      <w:r>
                        <w:rPr>
                          <w:rFonts w:ascii="Aparajita" w:hAnsi="Aparajita" w:cs="Aparajita"/>
                          <w:sz w:val="32"/>
                          <w:szCs w:val="32"/>
                        </w:rPr>
                        <w:t>“</w:t>
                      </w:r>
                      <w:r w:rsidR="0024738C" w:rsidRPr="008433C0">
                        <w:rPr>
                          <w:rFonts w:ascii="Aparajita" w:hAnsi="Aparajita" w:cs="Aparajita"/>
                          <w:sz w:val="32"/>
                          <w:szCs w:val="32"/>
                        </w:rPr>
                        <w:t>I strongly believe that this partnership played a key role in ensuring the future of the Fund.</w:t>
                      </w:r>
                      <w:r>
                        <w:rPr>
                          <w:rFonts w:ascii="Aparajita" w:hAnsi="Aparajita" w:cs="Aparajita"/>
                          <w:sz w:val="32"/>
                          <w:szCs w:val="32"/>
                        </w:rPr>
                        <w:t>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4D7A2B4" wp14:editId="661B12EA">
            <wp:simplePos x="0" y="0"/>
            <wp:positionH relativeFrom="column">
              <wp:posOffset>4565650</wp:posOffset>
            </wp:positionH>
            <wp:positionV relativeFrom="paragraph">
              <wp:posOffset>615950</wp:posOffset>
            </wp:positionV>
            <wp:extent cx="1371600" cy="1371600"/>
            <wp:effectExtent l="0" t="0" r="0" b="0"/>
            <wp:wrapSquare wrapText="bothSides"/>
            <wp:docPr id="6826989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698908" name="Picture 68269890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3C0" w:rsidRPr="008433C0">
        <w:t>Throughout the shutdown and appropriations process, CU Strategic Planning worked closely with CDFI credit unions to help them share their impact stories with legislators. Those advocacy efforts made a difference.</w:t>
      </w:r>
    </w:p>
    <w:p w14:paraId="0D1ADA5F" w14:textId="43E471AF" w:rsidR="008433C0" w:rsidRPr="008433C0" w:rsidRDefault="005F330C" w:rsidP="008433C0">
      <w:r w:rsidRPr="008433C0">
        <w:t>Southwest Louisiana Credit Union</w:t>
      </w:r>
      <w:r w:rsidRPr="005F330C">
        <w:t xml:space="preserve"> </w:t>
      </w:r>
      <w:r w:rsidRPr="008433C0">
        <w:t>President/CEO</w:t>
      </w:r>
      <w:r>
        <w:t xml:space="preserve"> </w:t>
      </w:r>
      <w:r w:rsidR="008433C0" w:rsidRPr="008433C0">
        <w:t xml:space="preserve">Chad Miller </w:t>
      </w:r>
      <w:r>
        <w:t>observed,</w:t>
      </w:r>
      <w:r w:rsidR="008433C0" w:rsidRPr="008433C0">
        <w:t xml:space="preserve"> </w:t>
      </w:r>
      <w:r w:rsidR="00AC0A1E">
        <w:t>“</w:t>
      </w:r>
      <w:r w:rsidR="008433C0" w:rsidRPr="008433C0">
        <w:t xml:space="preserve">Over the last several months, Southwest Louisiana CU has worked closely with CU Strategic Planning on sharing the story of small CDFIs like ours </w:t>
      </w:r>
      <w:r>
        <w:t>with</w:t>
      </w:r>
      <w:r w:rsidR="008433C0" w:rsidRPr="008433C0">
        <w:t xml:space="preserve"> our legislators</w:t>
      </w:r>
      <w:r>
        <w:t>,</w:t>
      </w:r>
      <w:r w:rsidR="008433C0" w:rsidRPr="008433C0">
        <w:t xml:space="preserve"> and I strongly believe that this partnership played a key role in ensuring the future of the Fund. We </w:t>
      </w:r>
      <w:r w:rsidR="0024738C">
        <w:rPr>
          <w:kern w:val="0"/>
          <w14:ligatures w14:val="none"/>
        </w:rPr>
        <w:t>spoke with several key regional offices of our members</w:t>
      </w:r>
      <w:r w:rsidR="00AC0A1E">
        <w:rPr>
          <w:kern w:val="0"/>
          <w14:ligatures w14:val="none"/>
        </w:rPr>
        <w:t>’</w:t>
      </w:r>
      <w:r w:rsidR="0024738C">
        <w:rPr>
          <w:kern w:val="0"/>
          <w14:ligatures w14:val="none"/>
        </w:rPr>
        <w:t xml:space="preserve"> legislators, </w:t>
      </w:r>
      <w:r w:rsidR="0024738C">
        <w:rPr>
          <w:kern w:val="0"/>
          <w14:ligatures w14:val="none"/>
        </w:rPr>
        <w:lastRenderedPageBreak/>
        <w:t>including Speaker Mike Johnson</w:t>
      </w:r>
      <w:r w:rsidR="00AC0A1E">
        <w:rPr>
          <w:kern w:val="0"/>
          <w14:ligatures w14:val="none"/>
        </w:rPr>
        <w:t>’</w:t>
      </w:r>
      <w:r w:rsidR="0024738C">
        <w:rPr>
          <w:kern w:val="0"/>
          <w14:ligatures w14:val="none"/>
        </w:rPr>
        <w:t>s office, to highlight the direct impact of CDFI funds on low- to moderate-income</w:t>
      </w:r>
      <w:r w:rsidR="008433C0" w:rsidRPr="008433C0">
        <w:t xml:space="preserve"> constituents and small businesses in rural Louisiana. Real stories of real members, including one SWLACU small business member that we were able to refinance out of a predatory 65% line of credit and save them approximately $5,000 per month in expenses. All of which is possible because of SWLACU</w:t>
      </w:r>
      <w:r w:rsidR="00AC0A1E">
        <w:t>’</w:t>
      </w:r>
      <w:r w:rsidR="008433C0" w:rsidRPr="008433C0">
        <w:t>s CDFI status.</w:t>
      </w:r>
      <w:r w:rsidR="00AC0A1E">
        <w:t>”</w:t>
      </w:r>
    </w:p>
    <w:p w14:paraId="5A381C97" w14:textId="285DA8AB" w:rsidR="008433C0" w:rsidRPr="008433C0" w:rsidRDefault="008433C0" w:rsidP="008433C0">
      <w:r w:rsidRPr="008433C0">
        <w:t>CU Strategic Planning President Stacy Augustine emphasized the multiplier effect of CDFI funding</w:t>
      </w:r>
      <w:r w:rsidR="001B25F1">
        <w:t>.</w:t>
      </w:r>
      <w:r w:rsidRPr="008433C0">
        <w:t xml:space="preserve"> </w:t>
      </w:r>
      <w:r w:rsidR="00AC0A1E">
        <w:t>“</w:t>
      </w:r>
      <w:r w:rsidRPr="008433C0">
        <w:t>The $334 million appropriated for the CDFI Fund enables CDFIs to put billions of dollars back to work in the communities they serve</w:t>
      </w:r>
      <w:r w:rsidR="001B25F1">
        <w:t>,</w:t>
      </w:r>
      <w:r w:rsidR="00AC0A1E">
        <w:t>”</w:t>
      </w:r>
      <w:r w:rsidR="001B25F1">
        <w:t xml:space="preserve"> she said</w:t>
      </w:r>
      <w:r w:rsidRPr="008433C0">
        <w:t xml:space="preserve">. </w:t>
      </w:r>
      <w:r w:rsidR="00AC0A1E">
        <w:t>“</w:t>
      </w:r>
      <w:r w:rsidRPr="008433C0">
        <w:t>The credit unions we work with consistently demonstrate how targeted investments can create financial stability for families, support small businesses and expand access to affordable housing.</w:t>
      </w:r>
      <w:r w:rsidR="00AC0A1E">
        <w:t>”</w:t>
      </w:r>
    </w:p>
    <w:p w14:paraId="65F43D63" w14:textId="77777777" w:rsidR="008433C0" w:rsidRPr="008433C0" w:rsidRDefault="008433C0" w:rsidP="008433C0">
      <w:pPr>
        <w:rPr>
          <w:b/>
          <w:bCs/>
        </w:rPr>
      </w:pPr>
      <w:r w:rsidRPr="008433C0">
        <w:rPr>
          <w:b/>
          <w:bCs/>
        </w:rPr>
        <w:t>About CU Strategic Planning</w:t>
      </w:r>
    </w:p>
    <w:p w14:paraId="65E3FEF1" w14:textId="463A3252" w:rsidR="008433C0" w:rsidRDefault="008433C0" w:rsidP="005F330C">
      <w:pPr>
        <w:spacing w:line="240" w:lineRule="auto"/>
        <w:rPr>
          <w:i/>
          <w:iCs/>
        </w:rPr>
      </w:pPr>
      <w:r w:rsidRPr="008433C0">
        <w:rPr>
          <w:i/>
          <w:iCs/>
        </w:rPr>
        <w:t xml:space="preserve">CU Strategic Planning, a Callahan company, provides comprehensive </w:t>
      </w:r>
      <w:r w:rsidR="004644F9">
        <w:rPr>
          <w:i/>
          <w:iCs/>
        </w:rPr>
        <w:t>consult</w:t>
      </w:r>
      <w:r w:rsidR="004F2A35">
        <w:rPr>
          <w:i/>
          <w:iCs/>
        </w:rPr>
        <w:t>ing services</w:t>
      </w:r>
      <w:r w:rsidR="004644F9">
        <w:rPr>
          <w:i/>
          <w:iCs/>
        </w:rPr>
        <w:t xml:space="preserve"> </w:t>
      </w:r>
      <w:r w:rsidR="00A85BDA">
        <w:rPr>
          <w:i/>
          <w:iCs/>
        </w:rPr>
        <w:t xml:space="preserve">exclusively </w:t>
      </w:r>
      <w:r w:rsidR="004644F9">
        <w:rPr>
          <w:i/>
          <w:iCs/>
        </w:rPr>
        <w:t>for mission-focused credit unions, including</w:t>
      </w:r>
      <w:r w:rsidR="00F6237F">
        <w:rPr>
          <w:i/>
          <w:iCs/>
        </w:rPr>
        <w:t xml:space="preserve"> strategic planning,</w:t>
      </w:r>
      <w:r w:rsidR="004644F9">
        <w:rPr>
          <w:i/>
          <w:iCs/>
        </w:rPr>
        <w:t xml:space="preserve"> </w:t>
      </w:r>
      <w:r w:rsidRPr="008433C0">
        <w:rPr>
          <w:i/>
          <w:iCs/>
        </w:rPr>
        <w:t>CDFI certification, grant application</w:t>
      </w:r>
      <w:r w:rsidR="00AF0073">
        <w:rPr>
          <w:i/>
          <w:iCs/>
        </w:rPr>
        <w:t>s</w:t>
      </w:r>
      <w:r w:rsidRPr="008433C0">
        <w:rPr>
          <w:i/>
          <w:iCs/>
        </w:rPr>
        <w:t>,</w:t>
      </w:r>
      <w:r w:rsidR="00AF0073">
        <w:rPr>
          <w:i/>
          <w:iCs/>
        </w:rPr>
        <w:t xml:space="preserve"> in-depth lending and policy analysis,</w:t>
      </w:r>
      <w:r w:rsidRPr="008433C0">
        <w:rPr>
          <w:i/>
          <w:iCs/>
        </w:rPr>
        <w:t xml:space="preserve"> executive recruiting and </w:t>
      </w:r>
      <w:r w:rsidR="00A85BDA">
        <w:rPr>
          <w:i/>
          <w:iCs/>
        </w:rPr>
        <w:t>more</w:t>
      </w:r>
      <w:r w:rsidRPr="008433C0">
        <w:rPr>
          <w:i/>
          <w:iCs/>
        </w:rPr>
        <w:t xml:space="preserve">. With deep expertise in community development finance, the firm helps credit unions amplify their mission while maintaining strong financial performance. For more information, visit </w:t>
      </w:r>
      <w:hyperlink r:id="rId9" w:history="1">
        <w:r w:rsidR="005F330C" w:rsidRPr="008433C0">
          <w:rPr>
            <w:rStyle w:val="Hyperlink"/>
            <w:i/>
            <w:iCs/>
          </w:rPr>
          <w:t>www.custrategicplanning.com</w:t>
        </w:r>
      </w:hyperlink>
      <w:r w:rsidR="005F330C">
        <w:rPr>
          <w:i/>
          <w:iCs/>
        </w:rPr>
        <w:t>.</w:t>
      </w:r>
    </w:p>
    <w:p w14:paraId="75A9C5D3" w14:textId="77777777" w:rsidR="005F330C" w:rsidRPr="008433C0" w:rsidRDefault="005F330C" w:rsidP="005F330C">
      <w:pPr>
        <w:spacing w:line="240" w:lineRule="auto"/>
        <w:rPr>
          <w:i/>
          <w:iCs/>
        </w:rPr>
      </w:pPr>
    </w:p>
    <w:p w14:paraId="3CDFA02B" w14:textId="77777777" w:rsidR="005F330C" w:rsidRPr="005F330C" w:rsidRDefault="008433C0" w:rsidP="005F330C">
      <w:pPr>
        <w:spacing w:after="0" w:line="240" w:lineRule="auto"/>
        <w:rPr>
          <w:b/>
          <w:bCs/>
        </w:rPr>
      </w:pPr>
      <w:r w:rsidRPr="008433C0">
        <w:rPr>
          <w:b/>
          <w:bCs/>
        </w:rPr>
        <w:t xml:space="preserve">Media Contact: </w:t>
      </w:r>
    </w:p>
    <w:p w14:paraId="10457E95" w14:textId="77777777" w:rsidR="005F330C" w:rsidRDefault="008433C0" w:rsidP="005F330C">
      <w:pPr>
        <w:spacing w:after="0" w:line="240" w:lineRule="auto"/>
      </w:pPr>
      <w:r w:rsidRPr="008433C0">
        <w:t xml:space="preserve">Sarah Snell Cooke </w:t>
      </w:r>
    </w:p>
    <w:p w14:paraId="3F2A543E" w14:textId="77777777" w:rsidR="005F330C" w:rsidRDefault="008433C0" w:rsidP="005F330C">
      <w:pPr>
        <w:spacing w:after="0" w:line="240" w:lineRule="auto"/>
      </w:pPr>
      <w:r w:rsidRPr="008433C0">
        <w:t xml:space="preserve">Cooke Consulting Solutions </w:t>
      </w:r>
    </w:p>
    <w:p w14:paraId="76B846AE" w14:textId="5515C4C3" w:rsidR="008433C0" w:rsidRPr="008433C0" w:rsidRDefault="008433C0" w:rsidP="005F330C">
      <w:pPr>
        <w:spacing w:after="0" w:line="240" w:lineRule="auto"/>
      </w:pPr>
      <w:r w:rsidRPr="008433C0">
        <w:t>sarah@cookeconsultingsolutions.com</w:t>
      </w:r>
    </w:p>
    <w:p w14:paraId="685871AC" w14:textId="77777777" w:rsidR="00552325" w:rsidRPr="008433C0" w:rsidRDefault="00552325" w:rsidP="008433C0"/>
    <w:sectPr w:rsidR="00552325" w:rsidRPr="008433C0" w:rsidSect="00F6237F">
      <w:headerReference w:type="default" r:id="rId10"/>
      <w:pgSz w:w="12240" w:h="15840"/>
      <w:pgMar w:top="1440" w:right="1440" w:bottom="1440" w:left="1440" w:header="14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243D4" w14:textId="77777777" w:rsidR="0020328B" w:rsidRDefault="0020328B" w:rsidP="00AF0073">
      <w:pPr>
        <w:spacing w:after="0" w:line="240" w:lineRule="auto"/>
      </w:pPr>
      <w:r>
        <w:separator/>
      </w:r>
    </w:p>
  </w:endnote>
  <w:endnote w:type="continuationSeparator" w:id="0">
    <w:p w14:paraId="1A385DA7" w14:textId="77777777" w:rsidR="0020328B" w:rsidRDefault="0020328B" w:rsidP="00AF0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AAD16" w14:textId="77777777" w:rsidR="0020328B" w:rsidRDefault="0020328B" w:rsidP="00AF0073">
      <w:pPr>
        <w:spacing w:after="0" w:line="240" w:lineRule="auto"/>
      </w:pPr>
      <w:r>
        <w:separator/>
      </w:r>
    </w:p>
  </w:footnote>
  <w:footnote w:type="continuationSeparator" w:id="0">
    <w:p w14:paraId="45662963" w14:textId="77777777" w:rsidR="0020328B" w:rsidRDefault="0020328B" w:rsidP="00AF00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79F9" w14:textId="75293937" w:rsidR="00AF0073" w:rsidRDefault="00AF0073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984FC79" wp14:editId="701236A8">
          <wp:simplePos x="0" y="0"/>
          <wp:positionH relativeFrom="page">
            <wp:posOffset>4931410</wp:posOffset>
          </wp:positionH>
          <wp:positionV relativeFrom="page">
            <wp:posOffset>330525</wp:posOffset>
          </wp:positionV>
          <wp:extent cx="2453489" cy="531589"/>
          <wp:effectExtent l="0" t="0" r="0" b="0"/>
          <wp:wrapNone/>
          <wp:docPr id="123323029" name="Picture 1" descr="A black and red sign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23029" name="Picture 1" descr="A black and red sign with blu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3489" cy="5315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841"/>
    <w:rsid w:val="00133841"/>
    <w:rsid w:val="001B25F1"/>
    <w:rsid w:val="0020328B"/>
    <w:rsid w:val="0024738C"/>
    <w:rsid w:val="002776ED"/>
    <w:rsid w:val="003412F5"/>
    <w:rsid w:val="004644F9"/>
    <w:rsid w:val="004F2A35"/>
    <w:rsid w:val="00552325"/>
    <w:rsid w:val="005F330C"/>
    <w:rsid w:val="007104DD"/>
    <w:rsid w:val="008433C0"/>
    <w:rsid w:val="008921FC"/>
    <w:rsid w:val="009A3392"/>
    <w:rsid w:val="009B7426"/>
    <w:rsid w:val="00A35A2B"/>
    <w:rsid w:val="00A85BDA"/>
    <w:rsid w:val="00AC0A1E"/>
    <w:rsid w:val="00AF0073"/>
    <w:rsid w:val="00B254E5"/>
    <w:rsid w:val="00C337D0"/>
    <w:rsid w:val="00C75F87"/>
    <w:rsid w:val="00E706FB"/>
    <w:rsid w:val="00F6237F"/>
    <w:rsid w:val="00F66C14"/>
    <w:rsid w:val="00F70833"/>
    <w:rsid w:val="00F7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79099"/>
  <w15:chartTrackingRefBased/>
  <w15:docId w15:val="{880F1A12-9CF2-7F42-B4FF-A6953B139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8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8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8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8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8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8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8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8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8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8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38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8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8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8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8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8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8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8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8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8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8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8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8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8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8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8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8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8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84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433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433C0"/>
    <w:rPr>
      <w:b/>
      <w:bCs/>
    </w:rPr>
  </w:style>
  <w:style w:type="character" w:styleId="Hyperlink">
    <w:name w:val="Hyperlink"/>
    <w:basedOn w:val="DefaultParagraphFont"/>
    <w:uiPriority w:val="99"/>
    <w:unhideWhenUsed/>
    <w:rsid w:val="005F33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3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921F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B74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74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74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4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42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F00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073"/>
  </w:style>
  <w:style w:type="paragraph" w:styleId="Footer">
    <w:name w:val="footer"/>
    <w:basedOn w:val="Normal"/>
    <w:link w:val="FooterChar"/>
    <w:uiPriority w:val="99"/>
    <w:unhideWhenUsed/>
    <w:rsid w:val="00AF00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www.filene.org/reports/amplifying-your-credit-unions-mission-financial-and-community-impacts-of-being-a-cdfi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ustrategicplanning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custrategicplannin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576</Words>
  <Characters>3445</Characters>
  <Application>Microsoft Office Word</Application>
  <DocSecurity>0</DocSecurity>
  <Lines>56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Snell Cooke</dc:creator>
  <cp:keywords/>
  <dc:description/>
  <cp:lastModifiedBy>Sarah Snell Cooke</cp:lastModifiedBy>
  <cp:revision>3</cp:revision>
  <dcterms:created xsi:type="dcterms:W3CDTF">2026-02-09T16:17:00Z</dcterms:created>
  <dcterms:modified xsi:type="dcterms:W3CDTF">2026-02-09T16:21:00Z</dcterms:modified>
</cp:coreProperties>
</file>