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A9661" w14:textId="32469391" w:rsidR="00A769C9" w:rsidRDefault="00B47EA5">
      <w:pPr>
        <w:tabs>
          <w:tab w:val="center" w:pos="7459"/>
        </w:tabs>
        <w:spacing w:after="0" w:line="259" w:lineRule="auto"/>
        <w:ind w:left="0" w:firstLine="0"/>
      </w:pPr>
      <w:r w:rsidRPr="00B47EA5">
        <w:rPr>
          <w:rFonts w:ascii="Century Gothic" w:eastAsia="Century Gothic" w:hAnsi="Century Gothic" w:cs="Century Gothic"/>
          <w:noProof/>
        </w:rPr>
        <w:drawing>
          <wp:inline distT="0" distB="0" distL="0" distR="0" wp14:anchorId="5897EC9A" wp14:editId="60AAD3D5">
            <wp:extent cx="2409825" cy="571500"/>
            <wp:effectExtent l="0" t="0" r="9525" b="0"/>
            <wp:docPr id="983573819" name="Picture 2" descr="Text&#10;&#10;AI-generated content may be incorrec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3573819" name="Picture 2" descr="Text&#10;&#10;AI-generated content may be incorrect."/>
                    <pic:cNvPicPr>
                      <a:picLocks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09825" cy="571500"/>
                    </a:xfrm>
                    <a:prstGeom prst="rect">
                      <a:avLst/>
                    </a:prstGeom>
                    <a:noFill/>
                    <a:ln>
                      <a:noFill/>
                    </a:ln>
                  </pic:spPr>
                </pic:pic>
              </a:graphicData>
            </a:graphic>
          </wp:inline>
        </w:drawing>
      </w:r>
      <w:r w:rsidR="002633A2">
        <w:rPr>
          <w:rFonts w:ascii="Century Gothic" w:eastAsia="Century Gothic" w:hAnsi="Century Gothic" w:cs="Century Gothic"/>
          <w:b/>
          <w:sz w:val="32"/>
        </w:rPr>
        <w:t xml:space="preserve">   </w:t>
      </w:r>
      <w:r w:rsidR="002633A2">
        <w:rPr>
          <w:rFonts w:ascii="Century Gothic" w:eastAsia="Century Gothic" w:hAnsi="Century Gothic" w:cs="Century Gothic"/>
          <w:b/>
          <w:sz w:val="32"/>
        </w:rPr>
        <w:tab/>
      </w:r>
    </w:p>
    <w:p w14:paraId="2067E0B4" w14:textId="77777777" w:rsidR="00A769C9" w:rsidRDefault="002633A2">
      <w:pPr>
        <w:spacing w:after="0" w:line="259" w:lineRule="auto"/>
        <w:ind w:left="2168" w:firstLine="0"/>
        <w:jc w:val="center"/>
      </w:pPr>
      <w:r>
        <w:rPr>
          <w:rFonts w:ascii="Century Gothic" w:eastAsia="Century Gothic" w:hAnsi="Century Gothic" w:cs="Century Gothic"/>
          <w:b/>
          <w:sz w:val="28"/>
        </w:rPr>
        <w:t xml:space="preserve"> </w:t>
      </w:r>
    </w:p>
    <w:p w14:paraId="5B0E0DBB" w14:textId="10B83B89" w:rsidR="00B47EA5" w:rsidRPr="00B47EA5" w:rsidRDefault="002633A2" w:rsidP="00B47EA5">
      <w:pPr>
        <w:spacing w:line="259" w:lineRule="auto"/>
        <w:ind w:left="0"/>
        <w:rPr>
          <w:rFonts w:ascii="Century Gothic" w:eastAsia="Century Gothic" w:hAnsi="Century Gothic" w:cs="Century Gothic"/>
        </w:rPr>
      </w:pPr>
      <w:r>
        <w:rPr>
          <w:rFonts w:ascii="Century Gothic" w:eastAsia="Century Gothic" w:hAnsi="Century Gothic" w:cs="Century Gothic"/>
          <w:sz w:val="22"/>
        </w:rPr>
        <w:t xml:space="preserve"> </w:t>
      </w:r>
      <w:bookmarkStart w:id="0" w:name="2006-2025"/>
      <w:bookmarkEnd w:id="0"/>
    </w:p>
    <w:p w14:paraId="231BF820" w14:textId="0162336E" w:rsidR="00A769C9" w:rsidRDefault="00754A06" w:rsidP="009511B2">
      <w:pPr>
        <w:spacing w:after="0" w:line="259" w:lineRule="auto"/>
        <w:ind w:left="0" w:firstLine="0"/>
      </w:pPr>
      <w:r w:rsidRPr="009511B2">
        <w:rPr>
          <w:b/>
          <w:sz w:val="28"/>
          <w:szCs w:val="28"/>
        </w:rPr>
        <w:t>PRESS RELEASE</w:t>
      </w:r>
      <w:r w:rsidR="009511B2">
        <w:rPr>
          <w:b/>
          <w:sz w:val="22"/>
        </w:rPr>
        <w:t xml:space="preserve"> </w:t>
      </w:r>
      <w:r w:rsidR="009511B2">
        <w:rPr>
          <w:b/>
          <w:sz w:val="22"/>
        </w:rPr>
        <w:tab/>
      </w:r>
      <w:r w:rsidR="009511B2">
        <w:rPr>
          <w:b/>
          <w:sz w:val="22"/>
        </w:rPr>
        <w:tab/>
      </w:r>
      <w:r w:rsidR="009511B2">
        <w:rPr>
          <w:b/>
          <w:sz w:val="22"/>
        </w:rPr>
        <w:tab/>
      </w:r>
      <w:r w:rsidR="002633A2">
        <w:rPr>
          <w:b/>
          <w:sz w:val="22"/>
        </w:rPr>
        <w:t>FOR IMMEDIATE RELEASE</w:t>
      </w:r>
      <w:r w:rsidR="004F189E">
        <w:rPr>
          <w:b/>
          <w:sz w:val="22"/>
        </w:rPr>
        <w:t xml:space="preserve">: </w:t>
      </w:r>
      <w:r w:rsidR="00E40E28">
        <w:rPr>
          <w:b/>
          <w:sz w:val="22"/>
        </w:rPr>
        <w:t>May 19</w:t>
      </w:r>
      <w:r w:rsidR="00B47EA5">
        <w:rPr>
          <w:b/>
          <w:sz w:val="22"/>
        </w:rPr>
        <w:t>, 2026</w:t>
      </w:r>
    </w:p>
    <w:p w14:paraId="030AAFFB" w14:textId="77777777" w:rsidR="00A769C9" w:rsidRDefault="002633A2">
      <w:pPr>
        <w:spacing w:after="0" w:line="259" w:lineRule="auto"/>
        <w:ind w:left="0" w:firstLine="0"/>
      </w:pPr>
      <w:r>
        <w:rPr>
          <w:sz w:val="22"/>
        </w:rPr>
        <w:t xml:space="preserve"> </w:t>
      </w:r>
    </w:p>
    <w:p w14:paraId="4C0DE72E" w14:textId="77777777" w:rsidR="00A769C9" w:rsidRPr="00C36154" w:rsidRDefault="002633A2">
      <w:pPr>
        <w:spacing w:after="0" w:line="259" w:lineRule="auto"/>
        <w:ind w:left="-5"/>
        <w:rPr>
          <w:sz w:val="20"/>
          <w:szCs w:val="20"/>
        </w:rPr>
      </w:pPr>
      <w:r w:rsidRPr="00C36154">
        <w:rPr>
          <w:b/>
          <w:sz w:val="20"/>
          <w:szCs w:val="20"/>
        </w:rPr>
        <w:t xml:space="preserve">MEDIA CONTACT: </w:t>
      </w:r>
    </w:p>
    <w:p w14:paraId="78F467B7" w14:textId="229BBE62" w:rsidR="0041579D" w:rsidRPr="00C36154" w:rsidRDefault="00F8223A" w:rsidP="008447DF">
      <w:pPr>
        <w:spacing w:after="9" w:line="249" w:lineRule="auto"/>
        <w:ind w:left="-5"/>
        <w:rPr>
          <w:sz w:val="20"/>
          <w:szCs w:val="20"/>
        </w:rPr>
      </w:pPr>
      <w:r>
        <w:rPr>
          <w:sz w:val="20"/>
          <w:szCs w:val="20"/>
        </w:rPr>
        <w:t>Carla Keister</w:t>
      </w:r>
      <w:r>
        <w:rPr>
          <w:sz w:val="20"/>
          <w:szCs w:val="20"/>
        </w:rPr>
        <w:tab/>
      </w:r>
      <w:r>
        <w:rPr>
          <w:sz w:val="20"/>
          <w:szCs w:val="20"/>
        </w:rPr>
        <w:tab/>
      </w:r>
    </w:p>
    <w:p w14:paraId="5B0EE7BA" w14:textId="083D27F8" w:rsidR="00246786" w:rsidRPr="00C36154" w:rsidRDefault="00246786" w:rsidP="00655F86">
      <w:pPr>
        <w:spacing w:after="9" w:line="249" w:lineRule="auto"/>
        <w:ind w:left="0" w:right="6029" w:firstLine="0"/>
        <w:rPr>
          <w:sz w:val="20"/>
          <w:szCs w:val="20"/>
        </w:rPr>
      </w:pPr>
      <w:r w:rsidRPr="00C36154">
        <w:rPr>
          <w:sz w:val="20"/>
          <w:szCs w:val="20"/>
        </w:rPr>
        <w:t xml:space="preserve">301-497-7000, ext. </w:t>
      </w:r>
      <w:r w:rsidR="0041579D">
        <w:rPr>
          <w:sz w:val="20"/>
          <w:szCs w:val="20"/>
        </w:rPr>
        <w:t>7</w:t>
      </w:r>
      <w:r w:rsidR="00F8223A">
        <w:rPr>
          <w:sz w:val="20"/>
          <w:szCs w:val="20"/>
        </w:rPr>
        <w:t>144</w:t>
      </w:r>
    </w:p>
    <w:p w14:paraId="65DCB172" w14:textId="2F028457" w:rsidR="00A769C9" w:rsidRDefault="00F8223A">
      <w:pPr>
        <w:spacing w:after="9" w:line="249" w:lineRule="auto"/>
        <w:ind w:left="-5" w:right="6029"/>
        <w:rPr>
          <w:sz w:val="20"/>
          <w:szCs w:val="20"/>
        </w:rPr>
      </w:pPr>
      <w:hyperlink r:id="rId8" w:history="1">
        <w:r w:rsidRPr="00B76EF2">
          <w:rPr>
            <w:rStyle w:val="Hyperlink"/>
            <w:sz w:val="20"/>
            <w:szCs w:val="20"/>
          </w:rPr>
          <w:t>carla.keister@towerfcu.org</w:t>
        </w:r>
      </w:hyperlink>
      <w:r w:rsidR="00B47EA5">
        <w:rPr>
          <w:sz w:val="20"/>
          <w:szCs w:val="20"/>
          <w:u w:color="000000"/>
        </w:rPr>
        <w:t xml:space="preserve"> </w:t>
      </w:r>
      <w:r w:rsidR="002633A2" w:rsidRPr="00C36154">
        <w:rPr>
          <w:sz w:val="20"/>
          <w:szCs w:val="20"/>
        </w:rPr>
        <w:t xml:space="preserve">  </w:t>
      </w:r>
    </w:p>
    <w:p w14:paraId="5E904B50" w14:textId="77777777" w:rsidR="00674FCB" w:rsidRDefault="002633A2" w:rsidP="00674FCB">
      <w:pPr>
        <w:jc w:val="center"/>
        <w:textAlignment w:val="baseline"/>
        <w:rPr>
          <w:sz w:val="22"/>
        </w:rPr>
      </w:pPr>
      <w:r>
        <w:rPr>
          <w:sz w:val="22"/>
        </w:rPr>
        <w:t xml:space="preserve"> </w:t>
      </w:r>
    </w:p>
    <w:p w14:paraId="4F463C66" w14:textId="5003D227" w:rsidR="00B47EA5" w:rsidRPr="00B47EA5" w:rsidRDefault="00B47EA5" w:rsidP="00B47EA5">
      <w:pPr>
        <w:spacing w:after="0" w:line="240" w:lineRule="auto"/>
        <w:ind w:left="14" w:hanging="14"/>
        <w:jc w:val="center"/>
        <w:rPr>
          <w:b/>
          <w:bCs/>
          <w:sz w:val="32"/>
          <w:szCs w:val="32"/>
        </w:rPr>
      </w:pPr>
      <w:r w:rsidRPr="00B47EA5">
        <w:rPr>
          <w:b/>
          <w:bCs/>
          <w:sz w:val="32"/>
          <w:szCs w:val="32"/>
        </w:rPr>
        <w:t xml:space="preserve">Tower Wealth Management </w:t>
      </w:r>
      <w:r w:rsidR="00282574">
        <w:rPr>
          <w:b/>
          <w:bCs/>
          <w:sz w:val="32"/>
          <w:szCs w:val="32"/>
        </w:rPr>
        <w:t>Surpasses</w:t>
      </w:r>
      <w:r w:rsidRPr="00B47EA5">
        <w:rPr>
          <w:b/>
          <w:bCs/>
          <w:sz w:val="32"/>
          <w:szCs w:val="32"/>
        </w:rPr>
        <w:t xml:space="preserve"> $1 Billion </w:t>
      </w:r>
    </w:p>
    <w:p w14:paraId="43C160F9" w14:textId="747987E2" w:rsidR="00B47EA5" w:rsidRDefault="00B47EA5" w:rsidP="00B47EA5">
      <w:pPr>
        <w:spacing w:after="0" w:line="240" w:lineRule="auto"/>
        <w:ind w:left="14" w:hanging="14"/>
        <w:jc w:val="center"/>
        <w:rPr>
          <w:b/>
          <w:bCs/>
          <w:sz w:val="32"/>
          <w:szCs w:val="32"/>
        </w:rPr>
      </w:pPr>
      <w:r w:rsidRPr="00B47EA5">
        <w:rPr>
          <w:b/>
          <w:bCs/>
          <w:sz w:val="32"/>
          <w:szCs w:val="32"/>
        </w:rPr>
        <w:t xml:space="preserve">in </w:t>
      </w:r>
      <w:r w:rsidR="00A248D7">
        <w:rPr>
          <w:b/>
          <w:bCs/>
          <w:sz w:val="32"/>
          <w:szCs w:val="32"/>
        </w:rPr>
        <w:t>B</w:t>
      </w:r>
      <w:r w:rsidR="00A5021D" w:rsidRPr="00A5021D">
        <w:rPr>
          <w:b/>
          <w:bCs/>
          <w:sz w:val="32"/>
          <w:szCs w:val="32"/>
        </w:rPr>
        <w:t xml:space="preserve">rokerage and </w:t>
      </w:r>
      <w:r w:rsidR="00A248D7">
        <w:rPr>
          <w:b/>
          <w:bCs/>
          <w:sz w:val="32"/>
          <w:szCs w:val="32"/>
        </w:rPr>
        <w:t>A</w:t>
      </w:r>
      <w:r w:rsidR="00A5021D" w:rsidRPr="00A5021D">
        <w:rPr>
          <w:b/>
          <w:bCs/>
          <w:sz w:val="32"/>
          <w:szCs w:val="32"/>
        </w:rPr>
        <w:t xml:space="preserve">dvisory </w:t>
      </w:r>
      <w:r w:rsidR="00A248D7">
        <w:rPr>
          <w:b/>
          <w:bCs/>
          <w:sz w:val="32"/>
          <w:szCs w:val="32"/>
        </w:rPr>
        <w:t>A</w:t>
      </w:r>
      <w:r w:rsidR="00A5021D" w:rsidRPr="00A5021D">
        <w:rPr>
          <w:b/>
          <w:bCs/>
          <w:sz w:val="32"/>
          <w:szCs w:val="32"/>
        </w:rPr>
        <w:t>ssets</w:t>
      </w:r>
    </w:p>
    <w:p w14:paraId="06E5E712" w14:textId="77777777" w:rsidR="00B47EA5" w:rsidRPr="00B47EA5" w:rsidRDefault="00B47EA5" w:rsidP="00B47EA5">
      <w:pPr>
        <w:spacing w:after="0" w:line="240" w:lineRule="auto"/>
        <w:ind w:left="14" w:hanging="14"/>
        <w:jc w:val="center"/>
        <w:rPr>
          <w:b/>
          <w:bCs/>
          <w:sz w:val="32"/>
          <w:szCs w:val="32"/>
        </w:rPr>
      </w:pPr>
    </w:p>
    <w:p w14:paraId="6CB20F8A" w14:textId="348CCCAE" w:rsidR="00B47EA5" w:rsidRPr="002D4A3D" w:rsidRDefault="00B47EA5" w:rsidP="00A248D7">
      <w:r>
        <w:rPr>
          <w:b/>
          <w:bCs/>
        </w:rPr>
        <w:t>[</w:t>
      </w:r>
      <w:r w:rsidR="00F27DA5">
        <w:rPr>
          <w:b/>
          <w:bCs/>
        </w:rPr>
        <w:t>Laurel</w:t>
      </w:r>
      <w:r>
        <w:rPr>
          <w:b/>
          <w:bCs/>
        </w:rPr>
        <w:t xml:space="preserve">, MD – </w:t>
      </w:r>
      <w:r w:rsidR="00E40E28">
        <w:rPr>
          <w:b/>
          <w:bCs/>
        </w:rPr>
        <w:t>May 19</w:t>
      </w:r>
      <w:r>
        <w:rPr>
          <w:b/>
          <w:bCs/>
        </w:rPr>
        <w:t xml:space="preserve">, 2026] </w:t>
      </w:r>
      <w:hyperlink r:id="rId9" w:history="1">
        <w:r w:rsidRPr="008447DF">
          <w:rPr>
            <w:rStyle w:val="Hyperlink"/>
          </w:rPr>
          <w:t>Tower Wealth Management</w:t>
        </w:r>
      </w:hyperlink>
      <w:r>
        <w:t xml:space="preserve">, the financial and investment </w:t>
      </w:r>
      <w:r w:rsidR="00A248D7">
        <w:t>services</w:t>
      </w:r>
      <w:r>
        <w:t xml:space="preserve"> group located at </w:t>
      </w:r>
      <w:r w:rsidRPr="008447DF">
        <w:t>Tower Federal Credit Union</w:t>
      </w:r>
      <w:r>
        <w:t>, announced today that it has surpassed a</w:t>
      </w:r>
      <w:r w:rsidR="00282574">
        <w:t xml:space="preserve"> significant milestone</w:t>
      </w:r>
      <w:r w:rsidR="00A248D7">
        <w:t>—overseeing more than</w:t>
      </w:r>
      <w:r>
        <w:t xml:space="preserve"> $1 billion in client </w:t>
      </w:r>
      <w:r w:rsidR="00282574">
        <w:t>assets</w:t>
      </w:r>
      <w:r>
        <w:t xml:space="preserve">. </w:t>
      </w:r>
    </w:p>
    <w:p w14:paraId="566C8D8D" w14:textId="77777777" w:rsidR="00B47EA5" w:rsidRDefault="00B47EA5" w:rsidP="00B47EA5"/>
    <w:p w14:paraId="060B0E3B" w14:textId="611D8B55" w:rsidR="00B47EA5" w:rsidRDefault="00B47EA5" w:rsidP="00B47EA5">
      <w:r>
        <w:t xml:space="preserve">Tower Wealth Management </w:t>
      </w:r>
      <w:r w:rsidR="00A5021D" w:rsidRPr="00E40E28">
        <w:t>brokerage and advisory assets</w:t>
      </w:r>
      <w:r>
        <w:t xml:space="preserve"> grew from just under $580 million in 2020 to over $9</w:t>
      </w:r>
      <w:r w:rsidR="00C5590B">
        <w:t>48</w:t>
      </w:r>
      <w:r>
        <w:t xml:space="preserve"> million a</w:t>
      </w:r>
      <w:r w:rsidR="00C5590B">
        <w:t>s of</w:t>
      </w:r>
      <w:r>
        <w:t xml:space="preserve"> </w:t>
      </w:r>
      <w:r w:rsidR="00282574">
        <w:t xml:space="preserve">the </w:t>
      </w:r>
      <w:r>
        <w:t xml:space="preserve">end of </w:t>
      </w:r>
      <w:r w:rsidR="00C5590B">
        <w:t>December</w:t>
      </w:r>
      <w:r>
        <w:t xml:space="preserve"> 202</w:t>
      </w:r>
      <w:r w:rsidR="00C5590B">
        <w:t>5</w:t>
      </w:r>
      <w:r>
        <w:t xml:space="preserve">. </w:t>
      </w:r>
      <w:proofErr w:type="gramStart"/>
      <w:r w:rsidR="00921691">
        <w:t>A strong</w:t>
      </w:r>
      <w:proofErr w:type="gramEnd"/>
      <w:r w:rsidR="00921691">
        <w:t xml:space="preserve"> </w:t>
      </w:r>
      <w:r w:rsidR="006E4A77">
        <w:t xml:space="preserve">first </w:t>
      </w:r>
      <w:r w:rsidR="00E40E28">
        <w:t>half</w:t>
      </w:r>
      <w:r w:rsidR="00F90022">
        <w:t xml:space="preserve"> of</w:t>
      </w:r>
      <w:r w:rsidR="006E4A77">
        <w:t xml:space="preserve"> 2026</w:t>
      </w:r>
      <w:r w:rsidR="00921691">
        <w:t xml:space="preserve"> pushed the group’s </w:t>
      </w:r>
      <w:r w:rsidR="00E40E28" w:rsidRPr="00E40E28">
        <w:t>brokerage and advisory assets</w:t>
      </w:r>
      <w:r w:rsidR="00921691">
        <w:t xml:space="preserve"> over the </w:t>
      </w:r>
      <w:r w:rsidR="006E4A77">
        <w:t xml:space="preserve">$1 billion mark. </w:t>
      </w:r>
    </w:p>
    <w:p w14:paraId="349E143E" w14:textId="77777777" w:rsidR="00B47EA5" w:rsidRDefault="00B47EA5" w:rsidP="00B47EA5"/>
    <w:p w14:paraId="712DB2E4" w14:textId="566C50DF" w:rsidR="00B47EA5" w:rsidRDefault="00B47EA5" w:rsidP="006C5867">
      <w:r>
        <w:t xml:space="preserve">“Over the past five years, we have made a </w:t>
      </w:r>
      <w:r w:rsidR="00282574">
        <w:t xml:space="preserve">deliberate and </w:t>
      </w:r>
      <w:r>
        <w:t xml:space="preserve">strategic effort </w:t>
      </w:r>
      <w:r w:rsidR="008447DF">
        <w:t>towards expanding</w:t>
      </w:r>
      <w:r>
        <w:t xml:space="preserve"> our services and client base, while continuing to provide consistent, </w:t>
      </w:r>
      <w:r w:rsidR="00282574">
        <w:t xml:space="preserve">quality </w:t>
      </w:r>
      <w:r>
        <w:t xml:space="preserve">service to our current clients,” </w:t>
      </w:r>
      <w:r w:rsidR="006C5867">
        <w:t xml:space="preserve">says Brett Marchand, Vice President of Tower Wealth Management. </w:t>
      </w:r>
      <w:r>
        <w:t xml:space="preserve">“This </w:t>
      </w:r>
      <w:r w:rsidR="00282574">
        <w:t xml:space="preserve">milestone is a direct result of that strategy, </w:t>
      </w:r>
      <w:r>
        <w:t xml:space="preserve">the strong relationships we’ve built with our clients, and </w:t>
      </w:r>
      <w:r w:rsidR="009333C9">
        <w:t xml:space="preserve">the </w:t>
      </w:r>
      <w:r>
        <w:t xml:space="preserve">dedication of our team. We </w:t>
      </w:r>
      <w:r w:rsidR="00282574">
        <w:t xml:space="preserve">remain committed to </w:t>
      </w:r>
      <w:r>
        <w:t xml:space="preserve">our mission </w:t>
      </w:r>
      <w:r w:rsidR="00282574">
        <w:t>of</w:t>
      </w:r>
      <w:r>
        <w:t xml:space="preserve"> help</w:t>
      </w:r>
      <w:r w:rsidR="00282574">
        <w:t>ing</w:t>
      </w:r>
      <w:r>
        <w:t xml:space="preserve"> our clients achieve their financial goals in a way that is unique, approachable, transparent, and </w:t>
      </w:r>
      <w:r w:rsidR="00282574">
        <w:t xml:space="preserve">rooted in </w:t>
      </w:r>
      <w:r w:rsidR="00100C13">
        <w:t>integrity.</w:t>
      </w:r>
      <w:r w:rsidR="006C5867">
        <w:t>”</w:t>
      </w:r>
    </w:p>
    <w:p w14:paraId="73843969" w14:textId="77777777" w:rsidR="008447DF" w:rsidRDefault="008447DF" w:rsidP="008447DF">
      <w:pPr>
        <w:ind w:left="0" w:firstLine="0"/>
      </w:pPr>
    </w:p>
    <w:p w14:paraId="0134BD48" w14:textId="4BE38C25" w:rsidR="00B47EA5" w:rsidRDefault="00B47EA5" w:rsidP="008447DF">
      <w:pPr>
        <w:ind w:left="0" w:firstLine="0"/>
      </w:pPr>
      <w:r w:rsidRPr="002D4A3D">
        <w:t xml:space="preserve">Promoting investing literacy is another </w:t>
      </w:r>
      <w:r w:rsidR="00282574">
        <w:t>cornerstone of T</w:t>
      </w:r>
      <w:r>
        <w:t>ower Wealth Management</w:t>
      </w:r>
      <w:r w:rsidR="00282574">
        <w:t xml:space="preserve">’s approach, </w:t>
      </w:r>
      <w:r w:rsidR="00F8223A">
        <w:t>according to</w:t>
      </w:r>
      <w:r>
        <w:t xml:space="preserve"> </w:t>
      </w:r>
      <w:r w:rsidR="00282574">
        <w:t xml:space="preserve">Cassandra Compton, </w:t>
      </w:r>
      <w:r>
        <w:t>Senior Vice President &amp; Chief Experience Officer</w:t>
      </w:r>
      <w:r w:rsidR="00282574">
        <w:t xml:space="preserve"> for Tower Federal Credit Union</w:t>
      </w:r>
      <w:r>
        <w:t xml:space="preserve">. </w:t>
      </w:r>
    </w:p>
    <w:p w14:paraId="1292439B" w14:textId="77777777" w:rsidR="00B47EA5" w:rsidRDefault="00B47EA5" w:rsidP="00B47EA5"/>
    <w:p w14:paraId="5563588E" w14:textId="7108E5EA" w:rsidR="00B47EA5" w:rsidRDefault="00F8223A" w:rsidP="00F8223A">
      <w:r w:rsidRPr="00F8223A">
        <w:lastRenderedPageBreak/>
        <w:t xml:space="preserve">"Investing is complex, and many individuals haven't received formal guidance on the fundamentals," </w:t>
      </w:r>
      <w:r>
        <w:t xml:space="preserve">she says. </w:t>
      </w:r>
      <w:r w:rsidRPr="00F8223A">
        <w:t xml:space="preserve">"Tower Wealth Management puts our members first by providing education that empowers them to make informed decisions, whether they're planning for retirement, building a financial roadmap, or navigating wealth transfer to the next generation. </w:t>
      </w:r>
      <w:r w:rsidR="00A248D7">
        <w:t xml:space="preserve">They’re </w:t>
      </w:r>
      <w:r w:rsidRPr="00F8223A">
        <w:t xml:space="preserve">focused on helping families feel financially </w:t>
      </w:r>
      <w:r w:rsidR="00A248D7">
        <w:t>confident</w:t>
      </w:r>
      <w:r w:rsidRPr="00F8223A">
        <w:t xml:space="preserve"> across generations. It's more than a transaction; it's a commitment to long-term financial success."</w:t>
      </w:r>
    </w:p>
    <w:p w14:paraId="5C1D21B5" w14:textId="77777777" w:rsidR="00F8223A" w:rsidRDefault="00F8223A" w:rsidP="00F8223A"/>
    <w:p w14:paraId="683F0DE1" w14:textId="33254746" w:rsidR="009333C9" w:rsidRPr="009333C9" w:rsidRDefault="009333C9" w:rsidP="009333C9">
      <w:pPr>
        <w:tabs>
          <w:tab w:val="num" w:pos="720"/>
        </w:tabs>
      </w:pPr>
      <w:r>
        <w:t xml:space="preserve">Achieving this milestone helps set Tower Wealth Management apart from its peers, </w:t>
      </w:r>
      <w:r w:rsidR="00AF18A5">
        <w:t xml:space="preserve">Compton </w:t>
      </w:r>
      <w:r w:rsidR="00F8223A">
        <w:t>says</w:t>
      </w:r>
      <w:r w:rsidR="00AF18A5">
        <w:t xml:space="preserve">. </w:t>
      </w:r>
      <w:r>
        <w:t>“</w:t>
      </w:r>
      <w:r w:rsidR="007B58AB">
        <w:t>T</w:t>
      </w:r>
      <w:r>
        <w:t>his success i</w:t>
      </w:r>
      <w:r w:rsidR="007B58AB">
        <w:t>s</w:t>
      </w:r>
      <w:r>
        <w:t xml:space="preserve"> a true testament to the expertise, care, and commitment </w:t>
      </w:r>
      <w:r w:rsidR="007B58AB">
        <w:t>practiced every day by o</w:t>
      </w:r>
      <w:r>
        <w:t xml:space="preserve">ur </w:t>
      </w:r>
      <w:r w:rsidR="007B58AB">
        <w:t xml:space="preserve">devoted </w:t>
      </w:r>
      <w:r>
        <w:t xml:space="preserve">team of </w:t>
      </w:r>
      <w:hyperlink r:id="rId10" w:history="1">
        <w:r w:rsidRPr="00A42FA3">
          <w:rPr>
            <w:rStyle w:val="Hyperlink"/>
          </w:rPr>
          <w:t>Wealth Advisors</w:t>
        </w:r>
      </w:hyperlink>
      <w:r>
        <w:t xml:space="preserve">.” </w:t>
      </w:r>
      <w:r w:rsidRPr="009333C9">
        <w:t> </w:t>
      </w:r>
    </w:p>
    <w:p w14:paraId="3D32E91A" w14:textId="77777777" w:rsidR="009333C9" w:rsidRDefault="009333C9" w:rsidP="00B47EA5"/>
    <w:p w14:paraId="6F8EB332" w14:textId="5001BCE1" w:rsidR="00D06E58" w:rsidRDefault="00A42FA3" w:rsidP="00F90022">
      <w:pPr>
        <w:rPr>
          <w:color w:val="auto"/>
          <w:sz w:val="20"/>
          <w:szCs w:val="20"/>
        </w:rPr>
      </w:pPr>
      <w:r>
        <w:t>Surpassing $</w:t>
      </w:r>
      <w:r w:rsidR="009333C9">
        <w:t xml:space="preserve">1 billion is </w:t>
      </w:r>
      <w:r w:rsidR="007B58AB">
        <w:t>also a</w:t>
      </w:r>
      <w:r w:rsidR="009333C9">
        <w:t xml:space="preserve"> testament to the trust clients place in Tower Wealth Management, </w:t>
      </w:r>
      <w:r w:rsidR="00F8223A">
        <w:t xml:space="preserve">Marchand adds. </w:t>
      </w:r>
      <w:r w:rsidR="009333C9">
        <w:t>“</w:t>
      </w:r>
      <w:r w:rsidR="007B58AB">
        <w:t xml:space="preserve">We are proud of the faith and trust </w:t>
      </w:r>
      <w:r w:rsidR="00C845C6">
        <w:t xml:space="preserve">our </w:t>
      </w:r>
      <w:r w:rsidR="007B58AB">
        <w:t xml:space="preserve">clients place in us, and the </w:t>
      </w:r>
      <w:r w:rsidR="00B47EA5" w:rsidRPr="00D327A3">
        <w:t>disciplined investment approach</w:t>
      </w:r>
      <w:r w:rsidR="009333C9">
        <w:t xml:space="preserve"> </w:t>
      </w:r>
      <w:r w:rsidR="007B58AB">
        <w:t xml:space="preserve">that has </w:t>
      </w:r>
      <w:r w:rsidR="00B47EA5" w:rsidRPr="00D327A3">
        <w:t>guided our growth</w:t>
      </w:r>
      <w:r w:rsidR="007B58AB">
        <w:t xml:space="preserve">. We </w:t>
      </w:r>
      <w:r w:rsidR="00B47EA5" w:rsidRPr="00D327A3">
        <w:t>remain focused on delivering long-term value</w:t>
      </w:r>
      <w:r w:rsidR="007B58AB">
        <w:t xml:space="preserve">, and </w:t>
      </w:r>
      <w:r>
        <w:t>our u</w:t>
      </w:r>
      <w:r w:rsidR="007B58AB">
        <w:t xml:space="preserve">nwavering </w:t>
      </w:r>
      <w:r w:rsidR="00B47EA5" w:rsidRPr="00D327A3">
        <w:t>commitment to the</w:t>
      </w:r>
      <w:r w:rsidR="007B58AB">
        <w:t xml:space="preserve"> individuals, families, and communities w</w:t>
      </w:r>
      <w:r w:rsidR="00B47EA5" w:rsidRPr="00D327A3">
        <w:t>e serve.”</w:t>
      </w:r>
    </w:p>
    <w:p w14:paraId="50A7E66C" w14:textId="3D83A630" w:rsidR="006677B1" w:rsidRPr="006677B1" w:rsidRDefault="006677B1" w:rsidP="006677B1">
      <w:pPr>
        <w:pBdr>
          <w:bottom w:val="thinThickThinMediumGap" w:sz="18" w:space="1" w:color="auto"/>
        </w:pBdr>
        <w:spacing w:after="57" w:line="259" w:lineRule="auto"/>
        <w:ind w:right="75"/>
        <w:jc w:val="center"/>
        <w:rPr>
          <w:color w:val="auto"/>
          <w:sz w:val="20"/>
          <w:szCs w:val="20"/>
        </w:rPr>
      </w:pPr>
      <w:r>
        <w:rPr>
          <w:color w:val="auto"/>
          <w:sz w:val="20"/>
          <w:szCs w:val="20"/>
        </w:rPr>
        <w:t>###</w:t>
      </w:r>
    </w:p>
    <w:p w14:paraId="51880122" w14:textId="77777777" w:rsidR="00CE6676" w:rsidRPr="004140CF" w:rsidRDefault="00CE6676" w:rsidP="00386BE3">
      <w:pPr>
        <w:pBdr>
          <w:bottom w:val="thinThickThinMediumGap" w:sz="18" w:space="1" w:color="auto"/>
        </w:pBdr>
        <w:spacing w:after="57" w:line="259" w:lineRule="auto"/>
        <w:ind w:left="0" w:right="75" w:firstLine="0"/>
        <w:rPr>
          <w:color w:val="auto"/>
          <w:sz w:val="20"/>
          <w:szCs w:val="20"/>
        </w:rPr>
      </w:pPr>
    </w:p>
    <w:p w14:paraId="1EF772B7" w14:textId="6A54DA70" w:rsidR="00D06E58" w:rsidRDefault="00D06E58" w:rsidP="00386BE3">
      <w:pPr>
        <w:spacing w:after="57" w:line="259" w:lineRule="auto"/>
        <w:ind w:left="0" w:right="75" w:firstLine="0"/>
        <w:rPr>
          <w:b/>
          <w:sz w:val="20"/>
          <w:szCs w:val="20"/>
        </w:rPr>
      </w:pPr>
    </w:p>
    <w:p w14:paraId="4836B177" w14:textId="77777777" w:rsidR="00B47EA5" w:rsidRDefault="002633A2" w:rsidP="00386BE3">
      <w:pPr>
        <w:spacing w:after="57" w:line="259" w:lineRule="auto"/>
        <w:ind w:left="0" w:right="75" w:firstLine="0"/>
        <w:rPr>
          <w:b/>
          <w:sz w:val="20"/>
          <w:szCs w:val="20"/>
        </w:rPr>
      </w:pPr>
      <w:r w:rsidRPr="00F1406A">
        <w:rPr>
          <w:b/>
          <w:sz w:val="20"/>
          <w:szCs w:val="20"/>
        </w:rPr>
        <w:t xml:space="preserve">About Tower </w:t>
      </w:r>
      <w:r w:rsidR="00B47EA5">
        <w:rPr>
          <w:b/>
          <w:sz w:val="20"/>
          <w:szCs w:val="20"/>
        </w:rPr>
        <w:t>Wealth Management</w:t>
      </w:r>
    </w:p>
    <w:p w14:paraId="576373EF" w14:textId="281905A1" w:rsidR="00B47EA5" w:rsidRDefault="00B47EA5" w:rsidP="00386BE3">
      <w:pPr>
        <w:spacing w:after="57" w:line="259" w:lineRule="auto"/>
        <w:ind w:left="0" w:right="75" w:firstLine="0"/>
        <w:rPr>
          <w:bCs/>
          <w:sz w:val="20"/>
          <w:szCs w:val="20"/>
        </w:rPr>
      </w:pPr>
      <w:r w:rsidRPr="00B47EA5">
        <w:rPr>
          <w:bCs/>
          <w:sz w:val="20"/>
          <w:szCs w:val="20"/>
        </w:rPr>
        <w:t>Tower Wealth Management is the financial planning and investment management group located at Tower Federal Credit Union. We have served the Baltimore/Washington corridor since 2005 and take pride in our deep roots in the community</w:t>
      </w:r>
      <w:r>
        <w:rPr>
          <w:bCs/>
          <w:sz w:val="20"/>
          <w:szCs w:val="20"/>
        </w:rPr>
        <w:t xml:space="preserve">. </w:t>
      </w:r>
      <w:r w:rsidRPr="00B47EA5">
        <w:rPr>
          <w:bCs/>
          <w:sz w:val="20"/>
          <w:szCs w:val="20"/>
        </w:rPr>
        <w:t xml:space="preserve">Our team </w:t>
      </w:r>
      <w:r w:rsidR="00100C13" w:rsidRPr="00B47EA5">
        <w:rPr>
          <w:bCs/>
          <w:sz w:val="20"/>
          <w:szCs w:val="20"/>
        </w:rPr>
        <w:t>is</w:t>
      </w:r>
      <w:r w:rsidRPr="00B47EA5">
        <w:rPr>
          <w:bCs/>
          <w:sz w:val="20"/>
          <w:szCs w:val="20"/>
        </w:rPr>
        <w:t xml:space="preserve"> local and highly accessible. Our Wealth Advisors are LPL-registered, seasoned industry professionals, averaging 24 years of financial services experience. They are highly experienced at shaping investment portfolios along with crafting detailed retirement plans, including those for federal government employees. For information, visit towerwealthmanagement.com. </w:t>
      </w:r>
    </w:p>
    <w:p w14:paraId="74826596" w14:textId="77777777" w:rsidR="00C27225" w:rsidRDefault="00C27225" w:rsidP="00386BE3">
      <w:pPr>
        <w:spacing w:after="57" w:line="259" w:lineRule="auto"/>
        <w:ind w:left="0" w:right="75" w:firstLine="0"/>
        <w:rPr>
          <w:bCs/>
          <w:sz w:val="20"/>
          <w:szCs w:val="20"/>
        </w:rPr>
      </w:pPr>
    </w:p>
    <w:p w14:paraId="13122685" w14:textId="77777777" w:rsidR="00C27225" w:rsidRPr="00C27225" w:rsidRDefault="00C27225" w:rsidP="00C27225">
      <w:pPr>
        <w:spacing w:after="57" w:line="259" w:lineRule="auto"/>
        <w:ind w:left="0" w:right="75" w:firstLine="0"/>
        <w:rPr>
          <w:bCs/>
          <w:sz w:val="20"/>
          <w:szCs w:val="20"/>
        </w:rPr>
      </w:pPr>
      <w:r w:rsidRPr="00C27225">
        <w:rPr>
          <w:b/>
          <w:bCs/>
          <w:sz w:val="20"/>
          <w:szCs w:val="20"/>
        </w:rPr>
        <w:t>Securities and advisory services are offered through LPL Financial (LPL), a registered investment advisor and broker-dealer (member </w:t>
      </w:r>
      <w:hyperlink r:id="rId11" w:tgtFrame="_blank" w:history="1">
        <w:r w:rsidRPr="00C27225">
          <w:rPr>
            <w:rStyle w:val="Hyperlink"/>
            <w:b/>
            <w:bCs/>
            <w:sz w:val="20"/>
            <w:szCs w:val="20"/>
          </w:rPr>
          <w:t>FINRA</w:t>
        </w:r>
      </w:hyperlink>
      <w:r w:rsidRPr="00C27225">
        <w:rPr>
          <w:b/>
          <w:bCs/>
          <w:sz w:val="20"/>
          <w:szCs w:val="20"/>
        </w:rPr>
        <w:t>/</w:t>
      </w:r>
      <w:hyperlink r:id="rId12" w:tgtFrame="_blank" w:history="1">
        <w:r w:rsidRPr="00C27225">
          <w:rPr>
            <w:rStyle w:val="Hyperlink"/>
            <w:b/>
            <w:bCs/>
            <w:sz w:val="20"/>
            <w:szCs w:val="20"/>
          </w:rPr>
          <w:t>SIPC</w:t>
        </w:r>
      </w:hyperlink>
      <w:r w:rsidRPr="00C27225">
        <w:rPr>
          <w:b/>
          <w:bCs/>
          <w:sz w:val="20"/>
          <w:szCs w:val="20"/>
        </w:rPr>
        <w:t>). </w:t>
      </w:r>
      <w:r w:rsidRPr="00C27225">
        <w:rPr>
          <w:bCs/>
          <w:sz w:val="20"/>
          <w:szCs w:val="20"/>
        </w:rPr>
        <w:t>Insurance products are offered through LPL or its licensed affiliates. Tower Federal Credit Union and Tower Wealth Management</w:t>
      </w:r>
      <w:r w:rsidRPr="00C27225">
        <w:rPr>
          <w:b/>
          <w:sz w:val="20"/>
          <w:szCs w:val="20"/>
        </w:rPr>
        <w:t> </w:t>
      </w:r>
      <w:r w:rsidRPr="00C27225">
        <w:rPr>
          <w:b/>
          <w:bCs/>
          <w:sz w:val="20"/>
          <w:szCs w:val="20"/>
          <w:u w:val="single"/>
        </w:rPr>
        <w:t>are not</w:t>
      </w:r>
      <w:r w:rsidRPr="00C27225">
        <w:rPr>
          <w:b/>
          <w:sz w:val="20"/>
          <w:szCs w:val="20"/>
        </w:rPr>
        <w:t> </w:t>
      </w:r>
      <w:r w:rsidRPr="00C27225">
        <w:rPr>
          <w:bCs/>
          <w:sz w:val="20"/>
          <w:szCs w:val="20"/>
        </w:rPr>
        <w:t xml:space="preserve">registered as a broker-dealer or investment advisor. Registered representatives of LPL offer products and services using Tower Wealth </w:t>
      </w:r>
      <w:proofErr w:type="gramStart"/>
      <w:r w:rsidRPr="00C27225">
        <w:rPr>
          <w:bCs/>
          <w:sz w:val="20"/>
          <w:szCs w:val="20"/>
        </w:rPr>
        <w:t>Management, and</w:t>
      </w:r>
      <w:proofErr w:type="gramEnd"/>
      <w:r w:rsidRPr="00C27225">
        <w:rPr>
          <w:bCs/>
          <w:sz w:val="20"/>
          <w:szCs w:val="20"/>
        </w:rPr>
        <w:t xml:space="preserve"> may also be employees of Tower Federal Credit Union. These products and services are being offered through LPL or its affiliates, which are separate entities from, and not affiliates of, Tower Federal Credit Union or Tower Wealth Management. Securities and insurance offered through LPL or its affiliates are:</w:t>
      </w:r>
    </w:p>
    <w:p w14:paraId="559A7784" w14:textId="329B6669" w:rsidR="00C27225" w:rsidRDefault="00C27225" w:rsidP="00386BE3">
      <w:pPr>
        <w:spacing w:after="57" w:line="259" w:lineRule="auto"/>
        <w:ind w:left="0" w:right="75" w:firstLine="0"/>
        <w:rPr>
          <w:b/>
          <w:sz w:val="20"/>
          <w:szCs w:val="20"/>
        </w:rPr>
      </w:pPr>
      <w:r w:rsidRPr="00C27225">
        <w:rPr>
          <w:b/>
          <w:bCs/>
          <w:sz w:val="20"/>
          <w:szCs w:val="20"/>
        </w:rPr>
        <w:t>Not Insured by NCUA or Any Other Government Agency | Not Credit Union Guaranteed | Not Credit Union Deposits or Obligations | May Lose Value</w:t>
      </w:r>
    </w:p>
    <w:sectPr w:rsidR="00C27225">
      <w:headerReference w:type="even" r:id="rId13"/>
      <w:headerReference w:type="default" r:id="rId14"/>
      <w:footerReference w:type="even" r:id="rId15"/>
      <w:footerReference w:type="default" r:id="rId16"/>
      <w:headerReference w:type="first" r:id="rId17"/>
      <w:footerReference w:type="first" r:id="rId18"/>
      <w:pgSz w:w="12240" w:h="15840"/>
      <w:pgMar w:top="1395" w:right="1369" w:bottom="1543"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7FE88F" w14:textId="77777777" w:rsidR="00E9428E" w:rsidRDefault="00E9428E" w:rsidP="00EF0D50">
      <w:pPr>
        <w:spacing w:after="0" w:line="240" w:lineRule="auto"/>
      </w:pPr>
      <w:r>
        <w:separator/>
      </w:r>
    </w:p>
  </w:endnote>
  <w:endnote w:type="continuationSeparator" w:id="0">
    <w:p w14:paraId="02B8B73E" w14:textId="77777777" w:rsidR="00E9428E" w:rsidRDefault="00E9428E" w:rsidP="00EF0D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0B12EA" w14:textId="77777777" w:rsidR="00F648FF" w:rsidRDefault="00F648F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2F9049" w14:textId="77777777" w:rsidR="00F648FF" w:rsidRDefault="00F648F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066CDC" w14:textId="77777777" w:rsidR="00F648FF" w:rsidRDefault="00F648F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F22C63" w14:textId="77777777" w:rsidR="00E9428E" w:rsidRDefault="00E9428E" w:rsidP="00EF0D50">
      <w:pPr>
        <w:spacing w:after="0" w:line="240" w:lineRule="auto"/>
      </w:pPr>
      <w:r>
        <w:separator/>
      </w:r>
    </w:p>
  </w:footnote>
  <w:footnote w:type="continuationSeparator" w:id="0">
    <w:p w14:paraId="1E82214D" w14:textId="77777777" w:rsidR="00E9428E" w:rsidRDefault="00E9428E" w:rsidP="00EF0D5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F69A0" w14:textId="77777777" w:rsidR="00F648FF" w:rsidRDefault="00F648F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05FEEE" w14:textId="7153FE6B" w:rsidR="00EF0D50" w:rsidRDefault="00EF0D5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45D751" w14:textId="77777777" w:rsidR="00F648FF" w:rsidRDefault="00F648F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C91092"/>
    <w:multiLevelType w:val="hybridMultilevel"/>
    <w:tmpl w:val="4560C9A2"/>
    <w:lvl w:ilvl="0" w:tplc="D8C6BAC2">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3DDA0BE0"/>
    <w:multiLevelType w:val="multilevel"/>
    <w:tmpl w:val="7C4CE5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6FE3500"/>
    <w:multiLevelType w:val="hybridMultilevel"/>
    <w:tmpl w:val="7F64B36C"/>
    <w:lvl w:ilvl="0" w:tplc="A3489A92">
      <w:start w:val="3"/>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49FB549C"/>
    <w:multiLevelType w:val="multilevel"/>
    <w:tmpl w:val="3B627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F570BA0"/>
    <w:multiLevelType w:val="hybridMultilevel"/>
    <w:tmpl w:val="66CE6C3E"/>
    <w:lvl w:ilvl="0" w:tplc="7452DF5C">
      <w:numFmt w:val="bullet"/>
      <w:lvlText w:val=""/>
      <w:lvlJc w:val="left"/>
      <w:pPr>
        <w:ind w:left="720" w:hanging="360"/>
      </w:pPr>
      <w:rPr>
        <w:rFonts w:ascii="Symbol" w:eastAsia="Calibri"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277181804">
    <w:abstractNumId w:val="4"/>
  </w:num>
  <w:num w:numId="2" w16cid:durableId="1409692106">
    <w:abstractNumId w:val="1"/>
  </w:num>
  <w:num w:numId="3" w16cid:durableId="478769830">
    <w:abstractNumId w:val="4"/>
  </w:num>
  <w:num w:numId="4" w16cid:durableId="1542783373">
    <w:abstractNumId w:val="2"/>
  </w:num>
  <w:num w:numId="5" w16cid:durableId="1842623069">
    <w:abstractNumId w:val="0"/>
  </w:num>
  <w:num w:numId="6" w16cid:durableId="1715305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69C9"/>
    <w:rsid w:val="00035DF2"/>
    <w:rsid w:val="00050F6B"/>
    <w:rsid w:val="00054957"/>
    <w:rsid w:val="000561A3"/>
    <w:rsid w:val="00056E53"/>
    <w:rsid w:val="00066F6E"/>
    <w:rsid w:val="00076853"/>
    <w:rsid w:val="00077FB1"/>
    <w:rsid w:val="000826AB"/>
    <w:rsid w:val="0008271C"/>
    <w:rsid w:val="000B1118"/>
    <w:rsid w:val="000E1E87"/>
    <w:rsid w:val="000F1D0F"/>
    <w:rsid w:val="00100C13"/>
    <w:rsid w:val="00101FD0"/>
    <w:rsid w:val="00113897"/>
    <w:rsid w:val="00122346"/>
    <w:rsid w:val="00134EAC"/>
    <w:rsid w:val="00135DE7"/>
    <w:rsid w:val="00136440"/>
    <w:rsid w:val="001404EA"/>
    <w:rsid w:val="001522A7"/>
    <w:rsid w:val="001540D2"/>
    <w:rsid w:val="001549A7"/>
    <w:rsid w:val="00164A37"/>
    <w:rsid w:val="001662E6"/>
    <w:rsid w:val="0017491A"/>
    <w:rsid w:val="00176680"/>
    <w:rsid w:val="001A3296"/>
    <w:rsid w:val="001A411F"/>
    <w:rsid w:val="001A7969"/>
    <w:rsid w:val="001B7671"/>
    <w:rsid w:val="001C4E3D"/>
    <w:rsid w:val="001E3873"/>
    <w:rsid w:val="002329AB"/>
    <w:rsid w:val="002460E2"/>
    <w:rsid w:val="00246786"/>
    <w:rsid w:val="002512BE"/>
    <w:rsid w:val="002530FA"/>
    <w:rsid w:val="002633A2"/>
    <w:rsid w:val="002642F7"/>
    <w:rsid w:val="00267724"/>
    <w:rsid w:val="00271397"/>
    <w:rsid w:val="00282574"/>
    <w:rsid w:val="00291331"/>
    <w:rsid w:val="00292866"/>
    <w:rsid w:val="00296CF5"/>
    <w:rsid w:val="002A6F48"/>
    <w:rsid w:val="002B1B57"/>
    <w:rsid w:val="002B3BE9"/>
    <w:rsid w:val="002B7F53"/>
    <w:rsid w:val="002C3C9B"/>
    <w:rsid w:val="002D3411"/>
    <w:rsid w:val="002E374A"/>
    <w:rsid w:val="002F15C7"/>
    <w:rsid w:val="002F6A92"/>
    <w:rsid w:val="00325AB9"/>
    <w:rsid w:val="00335841"/>
    <w:rsid w:val="00341AD4"/>
    <w:rsid w:val="003471C4"/>
    <w:rsid w:val="00353CB0"/>
    <w:rsid w:val="00354CE8"/>
    <w:rsid w:val="00366E45"/>
    <w:rsid w:val="0037300E"/>
    <w:rsid w:val="00376562"/>
    <w:rsid w:val="00385EBF"/>
    <w:rsid w:val="00386BE3"/>
    <w:rsid w:val="003A1315"/>
    <w:rsid w:val="003A44F8"/>
    <w:rsid w:val="003B58C8"/>
    <w:rsid w:val="003E3570"/>
    <w:rsid w:val="003F2351"/>
    <w:rsid w:val="003F3298"/>
    <w:rsid w:val="003F4F84"/>
    <w:rsid w:val="003F59B7"/>
    <w:rsid w:val="00401A7C"/>
    <w:rsid w:val="00402C3D"/>
    <w:rsid w:val="004140CF"/>
    <w:rsid w:val="0041478E"/>
    <w:rsid w:val="0041579D"/>
    <w:rsid w:val="00432217"/>
    <w:rsid w:val="00467231"/>
    <w:rsid w:val="00475654"/>
    <w:rsid w:val="00481DE6"/>
    <w:rsid w:val="0048286A"/>
    <w:rsid w:val="004851BE"/>
    <w:rsid w:val="00485694"/>
    <w:rsid w:val="004B1DEB"/>
    <w:rsid w:val="004B7894"/>
    <w:rsid w:val="004B78B7"/>
    <w:rsid w:val="004B7F4C"/>
    <w:rsid w:val="004C07B1"/>
    <w:rsid w:val="004C75B8"/>
    <w:rsid w:val="004D4793"/>
    <w:rsid w:val="004D7BE5"/>
    <w:rsid w:val="004E24DA"/>
    <w:rsid w:val="004F189E"/>
    <w:rsid w:val="00511C34"/>
    <w:rsid w:val="00520D09"/>
    <w:rsid w:val="00521DBC"/>
    <w:rsid w:val="00532414"/>
    <w:rsid w:val="00541302"/>
    <w:rsid w:val="00542CA2"/>
    <w:rsid w:val="0054577D"/>
    <w:rsid w:val="00562722"/>
    <w:rsid w:val="00564FE5"/>
    <w:rsid w:val="0056574A"/>
    <w:rsid w:val="00574523"/>
    <w:rsid w:val="005856A7"/>
    <w:rsid w:val="005957D5"/>
    <w:rsid w:val="00595EEE"/>
    <w:rsid w:val="005B1742"/>
    <w:rsid w:val="005B3073"/>
    <w:rsid w:val="005B5147"/>
    <w:rsid w:val="005C468D"/>
    <w:rsid w:val="005F6336"/>
    <w:rsid w:val="005F725F"/>
    <w:rsid w:val="00604397"/>
    <w:rsid w:val="0064068F"/>
    <w:rsid w:val="00655F86"/>
    <w:rsid w:val="0066122C"/>
    <w:rsid w:val="006677B1"/>
    <w:rsid w:val="00674FCB"/>
    <w:rsid w:val="00677093"/>
    <w:rsid w:val="00686EA4"/>
    <w:rsid w:val="006A5B6D"/>
    <w:rsid w:val="006A6BBB"/>
    <w:rsid w:val="006B2743"/>
    <w:rsid w:val="006C3299"/>
    <w:rsid w:val="006C5867"/>
    <w:rsid w:val="006D6444"/>
    <w:rsid w:val="006D78FF"/>
    <w:rsid w:val="006E4A77"/>
    <w:rsid w:val="00704E82"/>
    <w:rsid w:val="00710EE2"/>
    <w:rsid w:val="007140DD"/>
    <w:rsid w:val="00722943"/>
    <w:rsid w:val="00751E61"/>
    <w:rsid w:val="00753249"/>
    <w:rsid w:val="00754A06"/>
    <w:rsid w:val="00756B1B"/>
    <w:rsid w:val="00765DCE"/>
    <w:rsid w:val="00771DAE"/>
    <w:rsid w:val="00784EA0"/>
    <w:rsid w:val="00791BD4"/>
    <w:rsid w:val="007921C3"/>
    <w:rsid w:val="00793020"/>
    <w:rsid w:val="007A316F"/>
    <w:rsid w:val="007B131E"/>
    <w:rsid w:val="007B273F"/>
    <w:rsid w:val="007B558A"/>
    <w:rsid w:val="007B58AB"/>
    <w:rsid w:val="007C5F9B"/>
    <w:rsid w:val="00802061"/>
    <w:rsid w:val="00804A58"/>
    <w:rsid w:val="00806176"/>
    <w:rsid w:val="008201C0"/>
    <w:rsid w:val="00824A49"/>
    <w:rsid w:val="008447DF"/>
    <w:rsid w:val="00845F66"/>
    <w:rsid w:val="008521D9"/>
    <w:rsid w:val="00863445"/>
    <w:rsid w:val="00871F97"/>
    <w:rsid w:val="008A0A81"/>
    <w:rsid w:val="008A5265"/>
    <w:rsid w:val="008A5ECC"/>
    <w:rsid w:val="008A6B04"/>
    <w:rsid w:val="008B1D24"/>
    <w:rsid w:val="008B43C8"/>
    <w:rsid w:val="008C3363"/>
    <w:rsid w:val="008D166A"/>
    <w:rsid w:val="008E266E"/>
    <w:rsid w:val="008E749C"/>
    <w:rsid w:val="008F5100"/>
    <w:rsid w:val="00920A2D"/>
    <w:rsid w:val="00921691"/>
    <w:rsid w:val="00932308"/>
    <w:rsid w:val="009333C9"/>
    <w:rsid w:val="009511B2"/>
    <w:rsid w:val="00962C19"/>
    <w:rsid w:val="00965EF1"/>
    <w:rsid w:val="0097309D"/>
    <w:rsid w:val="00977374"/>
    <w:rsid w:val="00980972"/>
    <w:rsid w:val="00984C59"/>
    <w:rsid w:val="009B30C3"/>
    <w:rsid w:val="009B3DF9"/>
    <w:rsid w:val="009C1718"/>
    <w:rsid w:val="009C61E4"/>
    <w:rsid w:val="009D352E"/>
    <w:rsid w:val="009E32C5"/>
    <w:rsid w:val="009F5A9A"/>
    <w:rsid w:val="009F7A37"/>
    <w:rsid w:val="00A02AB0"/>
    <w:rsid w:val="00A07D49"/>
    <w:rsid w:val="00A13E6E"/>
    <w:rsid w:val="00A23587"/>
    <w:rsid w:val="00A248D7"/>
    <w:rsid w:val="00A42FA3"/>
    <w:rsid w:val="00A501FE"/>
    <w:rsid w:val="00A5021D"/>
    <w:rsid w:val="00A51FEC"/>
    <w:rsid w:val="00A55C6A"/>
    <w:rsid w:val="00A55D36"/>
    <w:rsid w:val="00A769C9"/>
    <w:rsid w:val="00A80806"/>
    <w:rsid w:val="00A97BC4"/>
    <w:rsid w:val="00AA23EF"/>
    <w:rsid w:val="00AA47DE"/>
    <w:rsid w:val="00AB6805"/>
    <w:rsid w:val="00AD1CB0"/>
    <w:rsid w:val="00AF18A5"/>
    <w:rsid w:val="00AF35E6"/>
    <w:rsid w:val="00B15D70"/>
    <w:rsid w:val="00B246E4"/>
    <w:rsid w:val="00B356C5"/>
    <w:rsid w:val="00B44128"/>
    <w:rsid w:val="00B47EA5"/>
    <w:rsid w:val="00B67A4B"/>
    <w:rsid w:val="00BA356F"/>
    <w:rsid w:val="00BC0C10"/>
    <w:rsid w:val="00BC2F18"/>
    <w:rsid w:val="00BF1400"/>
    <w:rsid w:val="00C27225"/>
    <w:rsid w:val="00C36154"/>
    <w:rsid w:val="00C43BA6"/>
    <w:rsid w:val="00C5590B"/>
    <w:rsid w:val="00C61B9F"/>
    <w:rsid w:val="00C80DA9"/>
    <w:rsid w:val="00C845C6"/>
    <w:rsid w:val="00C86722"/>
    <w:rsid w:val="00CA2FDA"/>
    <w:rsid w:val="00CB3716"/>
    <w:rsid w:val="00CB4F8A"/>
    <w:rsid w:val="00CC263E"/>
    <w:rsid w:val="00CE6676"/>
    <w:rsid w:val="00D03AA0"/>
    <w:rsid w:val="00D0440A"/>
    <w:rsid w:val="00D06E58"/>
    <w:rsid w:val="00D07E75"/>
    <w:rsid w:val="00D2480E"/>
    <w:rsid w:val="00D42FE7"/>
    <w:rsid w:val="00D57B96"/>
    <w:rsid w:val="00D6174D"/>
    <w:rsid w:val="00D91361"/>
    <w:rsid w:val="00DA2689"/>
    <w:rsid w:val="00DC414B"/>
    <w:rsid w:val="00DD51A7"/>
    <w:rsid w:val="00DF2F95"/>
    <w:rsid w:val="00E067B4"/>
    <w:rsid w:val="00E11414"/>
    <w:rsid w:val="00E12719"/>
    <w:rsid w:val="00E37943"/>
    <w:rsid w:val="00E40E28"/>
    <w:rsid w:val="00E65957"/>
    <w:rsid w:val="00E7569A"/>
    <w:rsid w:val="00E84278"/>
    <w:rsid w:val="00E87817"/>
    <w:rsid w:val="00E9428E"/>
    <w:rsid w:val="00EC64C9"/>
    <w:rsid w:val="00ED7068"/>
    <w:rsid w:val="00EF0D50"/>
    <w:rsid w:val="00EF3033"/>
    <w:rsid w:val="00F06078"/>
    <w:rsid w:val="00F1406A"/>
    <w:rsid w:val="00F2185A"/>
    <w:rsid w:val="00F25087"/>
    <w:rsid w:val="00F26AD1"/>
    <w:rsid w:val="00F27032"/>
    <w:rsid w:val="00F27DA5"/>
    <w:rsid w:val="00F473D5"/>
    <w:rsid w:val="00F63BBF"/>
    <w:rsid w:val="00F648FF"/>
    <w:rsid w:val="00F65CF2"/>
    <w:rsid w:val="00F7205B"/>
    <w:rsid w:val="00F7208A"/>
    <w:rsid w:val="00F7216D"/>
    <w:rsid w:val="00F76179"/>
    <w:rsid w:val="00F77239"/>
    <w:rsid w:val="00F8223A"/>
    <w:rsid w:val="00F90022"/>
    <w:rsid w:val="00FB36A3"/>
    <w:rsid w:val="00FB4EF5"/>
    <w:rsid w:val="00FC06C8"/>
    <w:rsid w:val="00FC2000"/>
    <w:rsid w:val="00FD1679"/>
    <w:rsid w:val="00FD27A2"/>
    <w:rsid w:val="00FE48B1"/>
    <w:rsid w:val="00FF36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D05365"/>
  <w15:docId w15:val="{72897B8A-9666-4173-89C8-5182925F4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360" w:lineRule="auto"/>
      <w:ind w:left="10" w:hanging="10"/>
    </w:pPr>
    <w:rPr>
      <w:rFonts w:ascii="Arial" w:eastAsia="Arial" w:hAnsi="Arial" w:cs="Arial"/>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467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46786"/>
    <w:rPr>
      <w:rFonts w:ascii="Segoe UI" w:eastAsia="Arial" w:hAnsi="Segoe UI" w:cs="Segoe UI"/>
      <w:color w:val="000000"/>
      <w:sz w:val="18"/>
      <w:szCs w:val="18"/>
    </w:rPr>
  </w:style>
  <w:style w:type="paragraph" w:styleId="ListParagraph">
    <w:name w:val="List Paragraph"/>
    <w:basedOn w:val="Normal"/>
    <w:uiPriority w:val="34"/>
    <w:qFormat/>
    <w:rsid w:val="00520D09"/>
    <w:pPr>
      <w:spacing w:after="0" w:line="240" w:lineRule="auto"/>
      <w:ind w:left="720" w:firstLine="0"/>
    </w:pPr>
    <w:rPr>
      <w:rFonts w:ascii="Calibri" w:eastAsiaTheme="minorHAnsi" w:hAnsi="Calibri" w:cs="Calibri"/>
      <w:color w:val="auto"/>
      <w:sz w:val="22"/>
    </w:rPr>
  </w:style>
  <w:style w:type="paragraph" w:styleId="Header">
    <w:name w:val="header"/>
    <w:basedOn w:val="Normal"/>
    <w:link w:val="HeaderChar"/>
    <w:uiPriority w:val="99"/>
    <w:unhideWhenUsed/>
    <w:rsid w:val="00EF0D5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F0D50"/>
    <w:rPr>
      <w:rFonts w:ascii="Arial" w:eastAsia="Arial" w:hAnsi="Arial" w:cs="Arial"/>
      <w:color w:val="000000"/>
      <w:sz w:val="24"/>
    </w:rPr>
  </w:style>
  <w:style w:type="paragraph" w:styleId="Footer">
    <w:name w:val="footer"/>
    <w:basedOn w:val="Normal"/>
    <w:link w:val="FooterChar"/>
    <w:uiPriority w:val="99"/>
    <w:unhideWhenUsed/>
    <w:rsid w:val="00EF0D5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F0D50"/>
    <w:rPr>
      <w:rFonts w:ascii="Arial" w:eastAsia="Arial" w:hAnsi="Arial" w:cs="Arial"/>
      <w:color w:val="000000"/>
      <w:sz w:val="24"/>
    </w:rPr>
  </w:style>
  <w:style w:type="character" w:styleId="Hyperlink">
    <w:name w:val="Hyperlink"/>
    <w:basedOn w:val="DefaultParagraphFont"/>
    <w:uiPriority w:val="99"/>
    <w:unhideWhenUsed/>
    <w:rsid w:val="00EF0D50"/>
    <w:rPr>
      <w:color w:val="0563C1" w:themeColor="hyperlink"/>
      <w:u w:val="single"/>
    </w:rPr>
  </w:style>
  <w:style w:type="paragraph" w:styleId="NormalWeb">
    <w:name w:val="Normal (Web)"/>
    <w:basedOn w:val="Normal"/>
    <w:uiPriority w:val="99"/>
    <w:unhideWhenUsed/>
    <w:rsid w:val="00595EEE"/>
    <w:pPr>
      <w:spacing w:before="100" w:beforeAutospacing="1" w:after="100" w:afterAutospacing="1" w:line="240" w:lineRule="auto"/>
      <w:ind w:left="0" w:firstLine="0"/>
    </w:pPr>
    <w:rPr>
      <w:rFonts w:ascii="Times New Roman" w:eastAsia="Times New Roman" w:hAnsi="Times New Roman" w:cs="Times New Roman"/>
      <w:color w:val="auto"/>
      <w:szCs w:val="24"/>
    </w:rPr>
  </w:style>
  <w:style w:type="character" w:styleId="Strong">
    <w:name w:val="Strong"/>
    <w:basedOn w:val="DefaultParagraphFont"/>
    <w:uiPriority w:val="22"/>
    <w:qFormat/>
    <w:rsid w:val="00DA2689"/>
    <w:rPr>
      <w:b/>
      <w:bCs/>
    </w:rPr>
  </w:style>
  <w:style w:type="paragraph" w:styleId="Caption">
    <w:name w:val="caption"/>
    <w:basedOn w:val="Normal"/>
    <w:next w:val="Normal"/>
    <w:uiPriority w:val="35"/>
    <w:unhideWhenUsed/>
    <w:qFormat/>
    <w:rsid w:val="000826AB"/>
    <w:pPr>
      <w:spacing w:after="200" w:line="240" w:lineRule="auto"/>
    </w:pPr>
    <w:rPr>
      <w:i/>
      <w:iCs/>
      <w:color w:val="44546A" w:themeColor="text2"/>
      <w:sz w:val="18"/>
      <w:szCs w:val="18"/>
    </w:rPr>
  </w:style>
  <w:style w:type="character" w:styleId="FollowedHyperlink">
    <w:name w:val="FollowedHyperlink"/>
    <w:basedOn w:val="DefaultParagraphFont"/>
    <w:uiPriority w:val="99"/>
    <w:semiHidden/>
    <w:unhideWhenUsed/>
    <w:rsid w:val="00136440"/>
    <w:rPr>
      <w:color w:val="954F72" w:themeColor="followedHyperlink"/>
      <w:u w:val="single"/>
    </w:rPr>
  </w:style>
  <w:style w:type="character" w:styleId="SubtleEmphasis">
    <w:name w:val="Subtle Emphasis"/>
    <w:basedOn w:val="DefaultParagraphFont"/>
    <w:uiPriority w:val="19"/>
    <w:qFormat/>
    <w:rsid w:val="00E37943"/>
    <w:rPr>
      <w:i/>
      <w:iCs/>
      <w:color w:val="404040"/>
    </w:rPr>
  </w:style>
  <w:style w:type="paragraph" w:customStyle="1" w:styleId="xxmsonormal">
    <w:name w:val="x_xmsonormal"/>
    <w:basedOn w:val="Normal"/>
    <w:rsid w:val="006A5B6D"/>
    <w:pPr>
      <w:spacing w:after="0" w:line="240" w:lineRule="auto"/>
      <w:ind w:left="0" w:firstLine="0"/>
    </w:pPr>
    <w:rPr>
      <w:rFonts w:ascii="Calibri" w:eastAsiaTheme="minorHAnsi" w:hAnsi="Calibri" w:cs="Calibri"/>
      <w:color w:val="auto"/>
      <w:sz w:val="22"/>
    </w:rPr>
  </w:style>
  <w:style w:type="character" w:styleId="CommentReference">
    <w:name w:val="annotation reference"/>
    <w:basedOn w:val="DefaultParagraphFont"/>
    <w:uiPriority w:val="99"/>
    <w:semiHidden/>
    <w:unhideWhenUsed/>
    <w:rsid w:val="003471C4"/>
    <w:rPr>
      <w:sz w:val="16"/>
      <w:szCs w:val="16"/>
    </w:rPr>
  </w:style>
  <w:style w:type="paragraph" w:styleId="CommentText">
    <w:name w:val="annotation text"/>
    <w:basedOn w:val="Normal"/>
    <w:link w:val="CommentTextChar"/>
    <w:uiPriority w:val="99"/>
    <w:semiHidden/>
    <w:unhideWhenUsed/>
    <w:rsid w:val="003471C4"/>
    <w:pPr>
      <w:spacing w:line="240" w:lineRule="auto"/>
    </w:pPr>
    <w:rPr>
      <w:sz w:val="20"/>
      <w:szCs w:val="20"/>
    </w:rPr>
  </w:style>
  <w:style w:type="character" w:customStyle="1" w:styleId="CommentTextChar">
    <w:name w:val="Comment Text Char"/>
    <w:basedOn w:val="DefaultParagraphFont"/>
    <w:link w:val="CommentText"/>
    <w:uiPriority w:val="99"/>
    <w:semiHidden/>
    <w:rsid w:val="003471C4"/>
    <w:rPr>
      <w:rFonts w:ascii="Arial" w:eastAsia="Arial"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471C4"/>
    <w:rPr>
      <w:b/>
      <w:bCs/>
    </w:rPr>
  </w:style>
  <w:style w:type="character" w:customStyle="1" w:styleId="CommentSubjectChar">
    <w:name w:val="Comment Subject Char"/>
    <w:basedOn w:val="CommentTextChar"/>
    <w:link w:val="CommentSubject"/>
    <w:uiPriority w:val="99"/>
    <w:semiHidden/>
    <w:rsid w:val="003471C4"/>
    <w:rPr>
      <w:rFonts w:ascii="Arial" w:eastAsia="Arial" w:hAnsi="Arial" w:cs="Arial"/>
      <w:b/>
      <w:bCs/>
      <w:color w:val="000000"/>
      <w:sz w:val="20"/>
      <w:szCs w:val="20"/>
    </w:rPr>
  </w:style>
  <w:style w:type="character" w:styleId="UnresolvedMention">
    <w:name w:val="Unresolved Mention"/>
    <w:basedOn w:val="DefaultParagraphFont"/>
    <w:uiPriority w:val="99"/>
    <w:semiHidden/>
    <w:unhideWhenUsed/>
    <w:rsid w:val="00D06E58"/>
    <w:rPr>
      <w:color w:val="605E5C"/>
      <w:shd w:val="clear" w:color="auto" w:fill="E1DFDD"/>
    </w:rPr>
  </w:style>
  <w:style w:type="paragraph" w:styleId="Revision">
    <w:name w:val="Revision"/>
    <w:hidden/>
    <w:uiPriority w:val="99"/>
    <w:semiHidden/>
    <w:rsid w:val="007B558A"/>
    <w:pPr>
      <w:spacing w:after="0" w:line="240" w:lineRule="auto"/>
    </w:pPr>
    <w:rPr>
      <w:rFonts w:ascii="Arial" w:eastAsia="Arial" w:hAnsi="Arial" w:cs="Arial"/>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612202">
      <w:bodyDiv w:val="1"/>
      <w:marLeft w:val="0"/>
      <w:marRight w:val="0"/>
      <w:marTop w:val="0"/>
      <w:marBottom w:val="0"/>
      <w:divBdr>
        <w:top w:val="none" w:sz="0" w:space="0" w:color="auto"/>
        <w:left w:val="none" w:sz="0" w:space="0" w:color="auto"/>
        <w:bottom w:val="none" w:sz="0" w:space="0" w:color="auto"/>
        <w:right w:val="none" w:sz="0" w:space="0" w:color="auto"/>
      </w:divBdr>
    </w:div>
    <w:div w:id="216356967">
      <w:bodyDiv w:val="1"/>
      <w:marLeft w:val="0"/>
      <w:marRight w:val="0"/>
      <w:marTop w:val="0"/>
      <w:marBottom w:val="0"/>
      <w:divBdr>
        <w:top w:val="none" w:sz="0" w:space="0" w:color="auto"/>
        <w:left w:val="none" w:sz="0" w:space="0" w:color="auto"/>
        <w:bottom w:val="none" w:sz="0" w:space="0" w:color="auto"/>
        <w:right w:val="none" w:sz="0" w:space="0" w:color="auto"/>
      </w:divBdr>
    </w:div>
    <w:div w:id="352650490">
      <w:bodyDiv w:val="1"/>
      <w:marLeft w:val="0"/>
      <w:marRight w:val="0"/>
      <w:marTop w:val="0"/>
      <w:marBottom w:val="0"/>
      <w:divBdr>
        <w:top w:val="none" w:sz="0" w:space="0" w:color="auto"/>
        <w:left w:val="none" w:sz="0" w:space="0" w:color="auto"/>
        <w:bottom w:val="none" w:sz="0" w:space="0" w:color="auto"/>
        <w:right w:val="none" w:sz="0" w:space="0" w:color="auto"/>
      </w:divBdr>
    </w:div>
    <w:div w:id="414858262">
      <w:bodyDiv w:val="1"/>
      <w:marLeft w:val="0"/>
      <w:marRight w:val="0"/>
      <w:marTop w:val="0"/>
      <w:marBottom w:val="0"/>
      <w:divBdr>
        <w:top w:val="none" w:sz="0" w:space="0" w:color="auto"/>
        <w:left w:val="none" w:sz="0" w:space="0" w:color="auto"/>
        <w:bottom w:val="none" w:sz="0" w:space="0" w:color="auto"/>
        <w:right w:val="none" w:sz="0" w:space="0" w:color="auto"/>
      </w:divBdr>
    </w:div>
    <w:div w:id="571814211">
      <w:bodyDiv w:val="1"/>
      <w:marLeft w:val="0"/>
      <w:marRight w:val="0"/>
      <w:marTop w:val="0"/>
      <w:marBottom w:val="0"/>
      <w:divBdr>
        <w:top w:val="none" w:sz="0" w:space="0" w:color="auto"/>
        <w:left w:val="none" w:sz="0" w:space="0" w:color="auto"/>
        <w:bottom w:val="none" w:sz="0" w:space="0" w:color="auto"/>
        <w:right w:val="none" w:sz="0" w:space="0" w:color="auto"/>
      </w:divBdr>
    </w:div>
    <w:div w:id="581178841">
      <w:bodyDiv w:val="1"/>
      <w:marLeft w:val="0"/>
      <w:marRight w:val="0"/>
      <w:marTop w:val="0"/>
      <w:marBottom w:val="0"/>
      <w:divBdr>
        <w:top w:val="none" w:sz="0" w:space="0" w:color="auto"/>
        <w:left w:val="none" w:sz="0" w:space="0" w:color="auto"/>
        <w:bottom w:val="none" w:sz="0" w:space="0" w:color="auto"/>
        <w:right w:val="none" w:sz="0" w:space="0" w:color="auto"/>
      </w:divBdr>
    </w:div>
    <w:div w:id="732002271">
      <w:bodyDiv w:val="1"/>
      <w:marLeft w:val="0"/>
      <w:marRight w:val="0"/>
      <w:marTop w:val="0"/>
      <w:marBottom w:val="0"/>
      <w:divBdr>
        <w:top w:val="none" w:sz="0" w:space="0" w:color="auto"/>
        <w:left w:val="none" w:sz="0" w:space="0" w:color="auto"/>
        <w:bottom w:val="none" w:sz="0" w:space="0" w:color="auto"/>
        <w:right w:val="none" w:sz="0" w:space="0" w:color="auto"/>
      </w:divBdr>
    </w:div>
    <w:div w:id="1017119496">
      <w:bodyDiv w:val="1"/>
      <w:marLeft w:val="0"/>
      <w:marRight w:val="0"/>
      <w:marTop w:val="0"/>
      <w:marBottom w:val="0"/>
      <w:divBdr>
        <w:top w:val="none" w:sz="0" w:space="0" w:color="auto"/>
        <w:left w:val="none" w:sz="0" w:space="0" w:color="auto"/>
        <w:bottom w:val="none" w:sz="0" w:space="0" w:color="auto"/>
        <w:right w:val="none" w:sz="0" w:space="0" w:color="auto"/>
      </w:divBdr>
    </w:div>
    <w:div w:id="1362704629">
      <w:bodyDiv w:val="1"/>
      <w:marLeft w:val="0"/>
      <w:marRight w:val="0"/>
      <w:marTop w:val="0"/>
      <w:marBottom w:val="0"/>
      <w:divBdr>
        <w:top w:val="none" w:sz="0" w:space="0" w:color="auto"/>
        <w:left w:val="none" w:sz="0" w:space="0" w:color="auto"/>
        <w:bottom w:val="none" w:sz="0" w:space="0" w:color="auto"/>
        <w:right w:val="none" w:sz="0" w:space="0" w:color="auto"/>
      </w:divBdr>
    </w:div>
    <w:div w:id="1684475323">
      <w:bodyDiv w:val="1"/>
      <w:marLeft w:val="0"/>
      <w:marRight w:val="0"/>
      <w:marTop w:val="0"/>
      <w:marBottom w:val="0"/>
      <w:divBdr>
        <w:top w:val="none" w:sz="0" w:space="0" w:color="auto"/>
        <w:left w:val="none" w:sz="0" w:space="0" w:color="auto"/>
        <w:bottom w:val="none" w:sz="0" w:space="0" w:color="auto"/>
        <w:right w:val="none" w:sz="0" w:space="0" w:color="auto"/>
      </w:divBdr>
    </w:div>
    <w:div w:id="1872256492">
      <w:bodyDiv w:val="1"/>
      <w:marLeft w:val="0"/>
      <w:marRight w:val="0"/>
      <w:marTop w:val="0"/>
      <w:marBottom w:val="0"/>
      <w:divBdr>
        <w:top w:val="none" w:sz="0" w:space="0" w:color="auto"/>
        <w:left w:val="none" w:sz="0" w:space="0" w:color="auto"/>
        <w:bottom w:val="none" w:sz="0" w:space="0" w:color="auto"/>
        <w:right w:val="none" w:sz="0" w:space="0" w:color="auto"/>
      </w:divBdr>
    </w:div>
    <w:div w:id="20380023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carla.keister@towerfcu.org" TargetMode="Externa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sipc.org/"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finra.org/"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www.towerwealthmanagement.org/wealth-advisors"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towerwealthmanagement.org" TargetMode="Externa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661</Words>
  <Characters>3769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September 9, 2004—Tower Federal Credit Union and the American Red Cross will hold Tower’s final blood drive for 2004 on Octobe</vt:lpstr>
    </vt:vector>
  </TitlesOfParts>
  <Company/>
  <LinksUpToDate>false</LinksUpToDate>
  <CharactersWithSpaces>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September 9, 2004—Tower Federal Credit Union and the American Red Cross will hold Tower’s final blood drive for 2004 on Octobe</dc:title>
  <dc:subject/>
  <dc:creator>Andrea Lynn</dc:creator>
  <cp:keywords/>
  <cp:lastModifiedBy>Keister, Carla</cp:lastModifiedBy>
  <cp:revision>2</cp:revision>
  <cp:lastPrinted>2020-01-06T17:03:00Z</cp:lastPrinted>
  <dcterms:created xsi:type="dcterms:W3CDTF">2026-05-18T19:39:00Z</dcterms:created>
  <dcterms:modified xsi:type="dcterms:W3CDTF">2026-05-18T19:39:00Z</dcterms:modified>
</cp:coreProperties>
</file>