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F92DE9" w:rsidRPr="00E85EFA" w:rsidRDefault="00F92DE9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F92DE9" w:rsidP="00CB526F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A2E19" w:rsidRPr="00B83D63" w:rsidRDefault="003A2E19" w:rsidP="003A2E19">
      <w:pPr>
        <w:pStyle w:val="Heading2"/>
        <w:rPr>
          <w:rFonts w:asciiTheme="minorHAnsi" w:hAnsiTheme="minorHAnsi" w:cstheme="minorHAnsi"/>
          <w:b/>
          <w:bCs/>
          <w:sz w:val="32"/>
        </w:rPr>
      </w:pPr>
      <w:r w:rsidRPr="00B83D63">
        <w:rPr>
          <w:rFonts w:asciiTheme="minorHAnsi" w:hAnsiTheme="minorHAnsi" w:cstheme="minorHAnsi"/>
          <w:b/>
          <w:bCs/>
          <w:sz w:val="32"/>
        </w:rPr>
        <w:t xml:space="preserve">Coastal Credit Union Named Among </w:t>
      </w:r>
      <w:r w:rsidRPr="00B83D63">
        <w:rPr>
          <w:rFonts w:asciiTheme="minorHAnsi" w:hAnsiTheme="minorHAnsi" w:cstheme="minorHAnsi"/>
          <w:b/>
          <w:bCs/>
          <w:sz w:val="32"/>
        </w:rPr>
        <w:br/>
        <w:t xml:space="preserve">Triangle’s Healthiest Employers for the </w:t>
      </w:r>
      <w:r>
        <w:rPr>
          <w:rFonts w:asciiTheme="minorHAnsi" w:hAnsiTheme="minorHAnsi" w:cstheme="minorHAnsi"/>
          <w:b/>
          <w:bCs/>
          <w:sz w:val="32"/>
        </w:rPr>
        <w:t xml:space="preserve">Twelfth </w:t>
      </w:r>
      <w:r w:rsidRPr="00B83D63">
        <w:rPr>
          <w:rFonts w:asciiTheme="minorHAnsi" w:hAnsiTheme="minorHAnsi" w:cstheme="minorHAnsi"/>
          <w:b/>
          <w:bCs/>
          <w:sz w:val="32"/>
        </w:rPr>
        <w:t>Time</w:t>
      </w:r>
    </w:p>
    <w:p w:rsidR="003F3A07" w:rsidRPr="0094440D" w:rsidRDefault="003F3A07" w:rsidP="003F3A07">
      <w:pPr>
        <w:pStyle w:val="NoSpacing"/>
        <w:jc w:val="center"/>
        <w:rPr>
          <w:rFonts w:asciiTheme="minorHAnsi" w:hAnsiTheme="minorHAnsi"/>
          <w:b/>
          <w:sz w:val="36"/>
        </w:rPr>
      </w:pPr>
    </w:p>
    <w:p w:rsidR="00142C62" w:rsidRDefault="003B692A" w:rsidP="00142C62">
      <w:pPr>
        <w:spacing w:before="240"/>
        <w:rPr>
          <w:rFonts w:asciiTheme="minorHAnsi" w:hAnsiTheme="minorHAnsi" w:cstheme="minorHAnsi"/>
        </w:rPr>
      </w:pPr>
      <w:r w:rsidRPr="00D472BD">
        <w:rPr>
          <w:rFonts w:asciiTheme="minorHAnsi" w:hAnsiTheme="minorHAnsi"/>
          <w:b/>
          <w:bCs/>
        </w:rPr>
        <w:t>RALEIGH, N.C. (</w:t>
      </w:r>
      <w:r w:rsidR="00B63AA4" w:rsidRPr="00B63AA4">
        <w:rPr>
          <w:rFonts w:asciiTheme="minorHAnsi" w:hAnsiTheme="minorHAnsi"/>
          <w:b/>
          <w:bCs/>
        </w:rPr>
        <w:t>October 31</w:t>
      </w:r>
      <w:r w:rsidR="001A10A4" w:rsidRPr="00D472BD">
        <w:rPr>
          <w:rFonts w:asciiTheme="minorHAnsi" w:hAnsiTheme="minorHAnsi"/>
          <w:b/>
          <w:bCs/>
        </w:rPr>
        <w:t xml:space="preserve">, </w:t>
      </w:r>
      <w:r w:rsidR="009D3EF3">
        <w:rPr>
          <w:rFonts w:asciiTheme="minorHAnsi" w:hAnsiTheme="minorHAnsi"/>
          <w:b/>
          <w:bCs/>
        </w:rPr>
        <w:t>202</w:t>
      </w:r>
      <w:r w:rsidR="003F3A07">
        <w:rPr>
          <w:rFonts w:asciiTheme="minorHAnsi" w:hAnsiTheme="minorHAnsi"/>
          <w:b/>
          <w:bCs/>
        </w:rPr>
        <w:t>2</w:t>
      </w:r>
      <w:r w:rsidRPr="00D472BD">
        <w:rPr>
          <w:rFonts w:asciiTheme="minorHAnsi" w:hAnsiTheme="minorHAnsi"/>
          <w:b/>
          <w:bCs/>
        </w:rPr>
        <w:t>) –</w:t>
      </w:r>
      <w:r w:rsidR="003F3A07">
        <w:rPr>
          <w:rFonts w:asciiTheme="minorHAnsi" w:hAnsiTheme="minorHAnsi"/>
          <w:b/>
          <w:bCs/>
        </w:rPr>
        <w:t xml:space="preserve"> </w:t>
      </w:r>
      <w:hyperlink r:id="rId9" w:history="1">
        <w:r w:rsidR="00142C62">
          <w:rPr>
            <w:rStyle w:val="Hyperlink"/>
            <w:rFonts w:asciiTheme="minorHAnsi" w:hAnsiTheme="minorHAnsi" w:cstheme="minorHAnsi"/>
          </w:rPr>
          <w:t>Coastal Cre</w:t>
        </w:r>
        <w:bookmarkStart w:id="0" w:name="_GoBack"/>
        <w:bookmarkEnd w:id="0"/>
        <w:r w:rsidR="00142C62">
          <w:rPr>
            <w:rStyle w:val="Hyperlink"/>
            <w:rFonts w:asciiTheme="minorHAnsi" w:hAnsiTheme="minorHAnsi" w:cstheme="minorHAnsi"/>
          </w:rPr>
          <w:t>dit Union</w:t>
        </w:r>
      </w:hyperlink>
      <w:r w:rsidR="003F3A07" w:rsidRPr="003F3A07">
        <w:rPr>
          <w:rFonts w:asciiTheme="minorHAnsi" w:hAnsiTheme="minorHAnsi" w:cstheme="minorHAnsi"/>
        </w:rPr>
        <w:t xml:space="preserve"> </w:t>
      </w:r>
      <w:r w:rsidR="00142C62" w:rsidRPr="006107A2">
        <w:rPr>
          <w:rFonts w:asciiTheme="minorHAnsi" w:hAnsiTheme="minorHAnsi" w:cstheme="minorHAnsi"/>
        </w:rPr>
        <w:t xml:space="preserve">has been recognized as one of the </w:t>
      </w:r>
      <w:hyperlink r:id="rId10" w:history="1">
        <w:r w:rsidR="00142C62" w:rsidRPr="00CD6719">
          <w:rPr>
            <w:rStyle w:val="Hyperlink"/>
            <w:rFonts w:asciiTheme="minorHAnsi" w:hAnsiTheme="minorHAnsi" w:cstheme="minorHAnsi"/>
          </w:rPr>
          <w:t>Healthiest Employers of the Triangle for 202</w:t>
        </w:r>
        <w:r w:rsidR="00142C62">
          <w:rPr>
            <w:rStyle w:val="Hyperlink"/>
            <w:rFonts w:asciiTheme="minorHAnsi" w:hAnsiTheme="minorHAnsi" w:cstheme="minorHAnsi"/>
          </w:rPr>
          <w:t>2</w:t>
        </w:r>
      </w:hyperlink>
      <w:r w:rsidR="00142C62">
        <w:rPr>
          <w:rFonts w:asciiTheme="minorHAnsi" w:hAnsiTheme="minorHAnsi" w:cstheme="minorHAnsi"/>
        </w:rPr>
        <w:t>.</w:t>
      </w:r>
      <w:r w:rsidR="00142C62" w:rsidRPr="006107A2">
        <w:rPr>
          <w:rFonts w:asciiTheme="minorHAnsi" w:hAnsiTheme="minorHAnsi" w:cstheme="minorHAnsi"/>
        </w:rPr>
        <w:t xml:space="preserve"> </w:t>
      </w:r>
      <w:r w:rsidR="00142C62" w:rsidRPr="00142C62">
        <w:rPr>
          <w:rFonts w:asciiTheme="minorHAnsi" w:hAnsiTheme="minorHAnsi" w:cstheme="minorHAnsi"/>
        </w:rPr>
        <w:t xml:space="preserve">The awards recognize area companies and nonprofit organizations “that have committed to making wellness a priority, while proactively shaping the health of their employees.” </w:t>
      </w:r>
      <w:r w:rsidR="00142C62" w:rsidRPr="006107A2">
        <w:rPr>
          <w:rFonts w:asciiTheme="minorHAnsi" w:hAnsiTheme="minorHAnsi" w:cstheme="minorHAnsi"/>
        </w:rPr>
        <w:t xml:space="preserve"> </w:t>
      </w:r>
      <w:r w:rsidR="00142C62">
        <w:rPr>
          <w:rFonts w:asciiTheme="minorHAnsi" w:hAnsiTheme="minorHAnsi" w:cstheme="minorHAnsi"/>
        </w:rPr>
        <w:t>C</w:t>
      </w:r>
      <w:r w:rsidR="00142C62" w:rsidRPr="006107A2">
        <w:rPr>
          <w:rFonts w:asciiTheme="minorHAnsi" w:hAnsiTheme="minorHAnsi" w:cstheme="minorHAnsi"/>
        </w:rPr>
        <w:t xml:space="preserve">ompanies were recognized because of their commitment to workplace wellness and their exceptional health and benefits offerings. </w:t>
      </w:r>
    </w:p>
    <w:p w:rsidR="00142C62" w:rsidRDefault="00142C62" w:rsidP="00142C62">
      <w:pPr>
        <w:spacing w:before="240"/>
        <w:rPr>
          <w:rFonts w:asciiTheme="minorHAnsi" w:hAnsiTheme="minorHAnsi" w:cstheme="minorHAnsi"/>
        </w:rPr>
      </w:pPr>
      <w:r w:rsidRPr="006107A2">
        <w:rPr>
          <w:rFonts w:asciiTheme="minorHAnsi" w:hAnsiTheme="minorHAnsi" w:cstheme="minorHAnsi"/>
        </w:rPr>
        <w:t>Award applicants were evaluated across six key categories: Culture and Leadership, Foundational Components, Strategic Planning, Communication and Marketing, Programming and Interventions, and Reporting and Analytics. Completed assessments were ranked with the proprietary Healthiest Employers® Index, a 1-100 rubric for wellness programming. The survey is scored and powered by </w:t>
      </w:r>
      <w:proofErr w:type="spellStart"/>
      <w:r w:rsidRPr="006107A2">
        <w:rPr>
          <w:rFonts w:asciiTheme="minorHAnsi" w:hAnsiTheme="minorHAnsi" w:cstheme="minorHAnsi"/>
        </w:rPr>
        <w:fldChar w:fldCharType="begin"/>
      </w:r>
      <w:r w:rsidRPr="006107A2">
        <w:rPr>
          <w:rFonts w:asciiTheme="minorHAnsi" w:hAnsiTheme="minorHAnsi" w:cstheme="minorHAnsi"/>
        </w:rPr>
        <w:instrText xml:space="preserve"> HYPERLINK "http://www.springbuk.com/" </w:instrText>
      </w:r>
      <w:r w:rsidRPr="006107A2">
        <w:rPr>
          <w:rFonts w:asciiTheme="minorHAnsi" w:hAnsiTheme="minorHAnsi" w:cstheme="minorHAnsi"/>
        </w:rPr>
        <w:fldChar w:fldCharType="separate"/>
      </w:r>
      <w:r w:rsidRPr="006107A2">
        <w:rPr>
          <w:rStyle w:val="Hyperlink"/>
          <w:rFonts w:asciiTheme="minorHAnsi" w:hAnsiTheme="minorHAnsi" w:cstheme="minorHAnsi"/>
          <w:color w:val="auto"/>
          <w:u w:val="none"/>
        </w:rPr>
        <w:t>Springbuk</w:t>
      </w:r>
      <w:proofErr w:type="spellEnd"/>
      <w:r w:rsidRPr="006107A2">
        <w:rPr>
          <w:rFonts w:asciiTheme="minorHAnsi" w:hAnsiTheme="minorHAnsi" w:cstheme="minorHAnsi"/>
        </w:rPr>
        <w:fldChar w:fldCharType="end"/>
      </w:r>
      <w:r w:rsidRPr="006107A2">
        <w:rPr>
          <w:rFonts w:asciiTheme="minorHAnsi" w:hAnsiTheme="minorHAnsi" w:cstheme="minorHAnsi"/>
        </w:rPr>
        <w:t xml:space="preserve">, a health intelligence platform that simplifies data-driven decision-making with an intuitive user experience, predictive modeling, and curated action steps.  </w:t>
      </w:r>
    </w:p>
    <w:p w:rsidR="00142C62" w:rsidRPr="006107A2" w:rsidRDefault="00142C62" w:rsidP="00142C62">
      <w:pPr>
        <w:spacing w:before="240" w:after="120"/>
        <w:rPr>
          <w:rFonts w:asciiTheme="minorHAnsi" w:hAnsiTheme="minorHAnsi" w:cstheme="minorHAnsi"/>
        </w:rPr>
      </w:pPr>
      <w:r w:rsidRPr="006107A2">
        <w:rPr>
          <w:rFonts w:asciiTheme="minorHAnsi" w:hAnsiTheme="minorHAnsi" w:cstheme="minorHAnsi"/>
        </w:rPr>
        <w:t xml:space="preserve">This is the </w:t>
      </w:r>
      <w:r>
        <w:rPr>
          <w:rFonts w:asciiTheme="minorHAnsi" w:hAnsiTheme="minorHAnsi" w:cstheme="minorHAnsi"/>
        </w:rPr>
        <w:t>twelfth</w:t>
      </w:r>
      <w:r w:rsidRPr="006107A2">
        <w:rPr>
          <w:rFonts w:asciiTheme="minorHAnsi" w:hAnsiTheme="minorHAnsi" w:cstheme="minorHAnsi"/>
        </w:rPr>
        <w:t xml:space="preserve"> time that Coastal has been named a Healthiest Employer of the Triangle, including the past </w:t>
      </w:r>
      <w:r>
        <w:rPr>
          <w:rFonts w:asciiTheme="minorHAnsi" w:hAnsiTheme="minorHAnsi" w:cstheme="minorHAnsi"/>
        </w:rPr>
        <w:t>seven</w:t>
      </w:r>
      <w:r w:rsidRPr="006107A2">
        <w:rPr>
          <w:rFonts w:asciiTheme="minorHAnsi" w:hAnsiTheme="minorHAnsi" w:cstheme="minorHAnsi"/>
        </w:rPr>
        <w:t xml:space="preserve"> years in a row. It is one of </w:t>
      </w:r>
      <w:r>
        <w:rPr>
          <w:rFonts w:asciiTheme="minorHAnsi" w:hAnsiTheme="minorHAnsi" w:cstheme="minorHAnsi"/>
        </w:rPr>
        <w:t>three</w:t>
      </w:r>
      <w:r w:rsidRPr="006107A2">
        <w:rPr>
          <w:rFonts w:asciiTheme="minorHAnsi" w:hAnsiTheme="minorHAnsi" w:cstheme="minorHAnsi"/>
        </w:rPr>
        <w:t xml:space="preserve"> employer awards that the credit union has earned this year. </w:t>
      </w:r>
    </w:p>
    <w:p w:rsidR="002E5126" w:rsidRPr="008F45D8" w:rsidRDefault="002E5126" w:rsidP="00142C62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70103D">
        <w:rPr>
          <w:rFonts w:asciiTheme="minorHAnsi" w:hAnsiTheme="minorHAnsi" w:cs="Calibri"/>
          <w:color w:val="000000"/>
          <w:sz w:val="20"/>
          <w:szCs w:val="20"/>
        </w:rPr>
        <w:t>6</w:t>
      </w:r>
      <w:r w:rsidR="008C5173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</w:t>
      </w:r>
      <w:r w:rsidR="002524D4">
        <w:rPr>
          <w:rFonts w:asciiTheme="minorHAnsi" w:hAnsiTheme="minorHAnsi" w:cs="Calibri"/>
          <w:color w:val="000000"/>
          <w:sz w:val="20"/>
          <w:szCs w:val="20"/>
        </w:rPr>
        <w:t>3</w:t>
      </w:r>
      <w:r w:rsidR="0070103D">
        <w:rPr>
          <w:rFonts w:asciiTheme="minorHAnsi" w:hAnsiTheme="minorHAnsi" w:cs="Calibri"/>
          <w:color w:val="000000"/>
          <w:sz w:val="20"/>
          <w:szCs w:val="20"/>
        </w:rPr>
        <w:t>20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00 business partners and is among the leading financial institutions in North Carolina.  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Coa</w:t>
      </w:r>
      <w:r w:rsidR="00D35871">
        <w:rPr>
          <w:rFonts w:asciiTheme="minorHAnsi" w:hAnsiTheme="minorHAnsi" w:cs="Calibri"/>
          <w:color w:val="000000"/>
          <w:sz w:val="20"/>
          <w:szCs w:val="20"/>
        </w:rPr>
        <w:t>s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tal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</w:t>
      </w:r>
      <w:r w:rsidR="00257E90">
        <w:rPr>
          <w:rFonts w:asciiTheme="minorHAnsi" w:hAnsiTheme="minorHAnsi" w:cs="Calibri"/>
          <w:color w:val="000000"/>
          <w:sz w:val="20"/>
          <w:szCs w:val="20"/>
        </w:rPr>
        <w:t>w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1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2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3F3A07" w:rsidRDefault="003F3A07" w:rsidP="003F3A07">
      <w:pPr>
        <w:rPr>
          <w:rFonts w:asciiTheme="minorHAnsi" w:hAnsiTheme="minorHAnsi" w:cstheme="minorHAnsi"/>
          <w:iCs/>
          <w:sz w:val="20"/>
          <w:szCs w:val="20"/>
        </w:rPr>
      </w:pP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D71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2C62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24D4"/>
    <w:rsid w:val="00253D66"/>
    <w:rsid w:val="00255C4F"/>
    <w:rsid w:val="00256EF9"/>
    <w:rsid w:val="00257009"/>
    <w:rsid w:val="00257E90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C76A8"/>
    <w:rsid w:val="002D2E02"/>
    <w:rsid w:val="002E02D1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6A34"/>
    <w:rsid w:val="00382184"/>
    <w:rsid w:val="003852A8"/>
    <w:rsid w:val="00386912"/>
    <w:rsid w:val="003948F3"/>
    <w:rsid w:val="00397711"/>
    <w:rsid w:val="003A2470"/>
    <w:rsid w:val="003A2E19"/>
    <w:rsid w:val="003A50BC"/>
    <w:rsid w:val="003A59D5"/>
    <w:rsid w:val="003B3649"/>
    <w:rsid w:val="003B692A"/>
    <w:rsid w:val="003D182C"/>
    <w:rsid w:val="003E16A8"/>
    <w:rsid w:val="003E3F99"/>
    <w:rsid w:val="003F3A07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C3A9C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C4542"/>
    <w:rsid w:val="006E7653"/>
    <w:rsid w:val="0070103D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5173"/>
    <w:rsid w:val="008C6302"/>
    <w:rsid w:val="008C69DD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46DC0"/>
    <w:rsid w:val="00950C47"/>
    <w:rsid w:val="00955A33"/>
    <w:rsid w:val="00956197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7EC2"/>
    <w:rsid w:val="00B51FFE"/>
    <w:rsid w:val="00B563D5"/>
    <w:rsid w:val="00B57CF8"/>
    <w:rsid w:val="00B63AA4"/>
    <w:rsid w:val="00B64972"/>
    <w:rsid w:val="00B70A92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5871"/>
    <w:rsid w:val="00D36787"/>
    <w:rsid w:val="00D416CC"/>
    <w:rsid w:val="00D472BD"/>
    <w:rsid w:val="00D62069"/>
    <w:rsid w:val="00D63E9D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15DFD"/>
    <w:rsid w:val="00F221BD"/>
    <w:rsid w:val="00F242B5"/>
    <w:rsid w:val="00F45EA6"/>
    <w:rsid w:val="00F47BDA"/>
    <w:rsid w:val="00F51EBA"/>
    <w:rsid w:val="00F53E4F"/>
    <w:rsid w:val="00F555EE"/>
    <w:rsid w:val="00F63AF3"/>
    <w:rsid w:val="00F63C2A"/>
    <w:rsid w:val="00F66168"/>
    <w:rsid w:val="00F70EAE"/>
    <w:rsid w:val="00F87886"/>
    <w:rsid w:val="00F92DE9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B0F0A9A"/>
  <w15:docId w15:val="{43C057A9-25C8-4FFF-A934-E16E7E33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astal24.com/Why-Coastal/Inside-Coastal/Newsro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astal24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ealthiestemployers.com/post/2022-healthiest-employers-of-the-tria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4C94-6C2B-48C4-A232-A0527689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2502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4</cp:revision>
  <cp:lastPrinted>2018-10-16T15:00:00Z</cp:lastPrinted>
  <dcterms:created xsi:type="dcterms:W3CDTF">2022-10-28T15:28:00Z</dcterms:created>
  <dcterms:modified xsi:type="dcterms:W3CDTF">2022-10-28T19:57:00Z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