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DE" w:rsidRDefault="009160DE" w:rsidP="00017025">
      <w:pPr>
        <w:spacing w:before="120" w:after="0"/>
        <w:rPr>
          <w:rFonts w:cstheme="minorHAnsi"/>
          <w:b/>
          <w:w w:val="105"/>
          <w:sz w:val="23"/>
          <w:szCs w:val="23"/>
        </w:rPr>
      </w:pPr>
    </w:p>
    <w:p w:rsidR="005D3687" w:rsidRPr="00BD4DA4" w:rsidRDefault="005D3687" w:rsidP="00017025">
      <w:pPr>
        <w:spacing w:before="120" w:after="0"/>
        <w:rPr>
          <w:rFonts w:cstheme="minorHAnsi"/>
          <w:b/>
          <w:w w:val="105"/>
          <w:sz w:val="23"/>
          <w:szCs w:val="23"/>
        </w:rPr>
        <w:sectPr w:rsidR="005D3687" w:rsidRPr="00BD4DA4" w:rsidSect="004017D9">
          <w:headerReference w:type="first" r:id="rId7"/>
          <w:pgSz w:w="12240" w:h="15840"/>
          <w:pgMar w:top="1440" w:right="1800" w:bottom="1440" w:left="1800" w:header="0" w:footer="0" w:gutter="0"/>
          <w:cols w:space="720"/>
          <w:titlePg/>
          <w:docGrid w:linePitch="360"/>
        </w:sectPr>
      </w:pPr>
    </w:p>
    <w:p w:rsidR="009160DE" w:rsidRPr="00BD4DA4" w:rsidRDefault="005D3687" w:rsidP="00A56CD9">
      <w:pPr>
        <w:spacing w:before="120" w:after="0"/>
        <w:rPr>
          <w:rFonts w:cstheme="minorHAnsi"/>
          <w:spacing w:val="-1"/>
          <w:sz w:val="23"/>
          <w:szCs w:val="23"/>
        </w:rPr>
      </w:pPr>
      <w:r w:rsidRPr="00BD4DA4">
        <w:rPr>
          <w:rFonts w:cstheme="minorHAnsi"/>
          <w:b/>
          <w:w w:val="105"/>
          <w:sz w:val="23"/>
          <w:szCs w:val="23"/>
        </w:rPr>
        <w:br/>
      </w:r>
      <w:r w:rsidRPr="00BD4DA4">
        <w:rPr>
          <w:rFonts w:cstheme="minorHAnsi"/>
          <w:b/>
          <w:w w:val="105"/>
          <w:sz w:val="23"/>
          <w:szCs w:val="23"/>
        </w:rPr>
        <w:br/>
      </w:r>
      <w:r w:rsidR="0088704C" w:rsidRPr="00BD4DA4">
        <w:rPr>
          <w:rFonts w:cstheme="minorHAnsi"/>
          <w:b/>
          <w:w w:val="105"/>
          <w:sz w:val="23"/>
          <w:szCs w:val="23"/>
        </w:rPr>
        <w:t>FOR</w:t>
      </w:r>
      <w:r w:rsidR="0088704C" w:rsidRPr="00BD4DA4">
        <w:rPr>
          <w:rFonts w:cstheme="minorHAnsi"/>
          <w:b/>
          <w:spacing w:val="14"/>
          <w:w w:val="105"/>
          <w:sz w:val="23"/>
          <w:szCs w:val="23"/>
        </w:rPr>
        <w:t xml:space="preserve"> </w:t>
      </w:r>
      <w:r w:rsidR="0088704C" w:rsidRPr="00BD4DA4">
        <w:rPr>
          <w:rFonts w:cstheme="minorHAnsi"/>
          <w:b/>
          <w:spacing w:val="-2"/>
          <w:w w:val="105"/>
          <w:sz w:val="23"/>
          <w:szCs w:val="23"/>
        </w:rPr>
        <w:t>IMMEDIATE</w:t>
      </w:r>
      <w:r w:rsidR="0088704C" w:rsidRPr="00BD4DA4">
        <w:rPr>
          <w:rFonts w:cstheme="minorHAnsi"/>
          <w:b/>
          <w:spacing w:val="15"/>
          <w:w w:val="105"/>
          <w:sz w:val="23"/>
          <w:szCs w:val="23"/>
        </w:rPr>
        <w:t xml:space="preserve"> </w:t>
      </w:r>
      <w:r w:rsidR="0088704C" w:rsidRPr="00BD4DA4">
        <w:rPr>
          <w:rFonts w:cstheme="minorHAnsi"/>
          <w:b/>
          <w:w w:val="105"/>
          <w:sz w:val="23"/>
          <w:szCs w:val="23"/>
        </w:rPr>
        <w:t>RELEASE</w:t>
      </w:r>
      <w:r w:rsidR="0088704C" w:rsidRPr="00BD4DA4">
        <w:rPr>
          <w:rFonts w:cstheme="minorHAnsi"/>
          <w:b/>
          <w:w w:val="105"/>
          <w:sz w:val="23"/>
          <w:szCs w:val="23"/>
        </w:rPr>
        <w:br/>
      </w:r>
      <w:r w:rsidR="0088704C" w:rsidRPr="00BD4DA4">
        <w:rPr>
          <w:rFonts w:cstheme="minorHAnsi"/>
          <w:spacing w:val="-1"/>
          <w:sz w:val="23"/>
          <w:szCs w:val="23"/>
        </w:rPr>
        <w:t>Contact: Heath</w:t>
      </w:r>
      <w:r w:rsidR="0088704C" w:rsidRPr="00BD4DA4">
        <w:rPr>
          <w:rFonts w:cstheme="minorHAnsi"/>
          <w:sz w:val="23"/>
          <w:szCs w:val="23"/>
        </w:rPr>
        <w:t xml:space="preserve"> </w:t>
      </w:r>
      <w:r w:rsidR="0088704C" w:rsidRPr="00BD4DA4">
        <w:rPr>
          <w:rFonts w:cstheme="minorHAnsi"/>
          <w:spacing w:val="-1"/>
          <w:sz w:val="23"/>
          <w:szCs w:val="23"/>
        </w:rPr>
        <w:t>Combs</w:t>
      </w:r>
      <w:r w:rsidR="00E34D26">
        <w:rPr>
          <w:rFonts w:cstheme="minorHAnsi"/>
          <w:spacing w:val="-1"/>
          <w:sz w:val="23"/>
          <w:szCs w:val="23"/>
        </w:rPr>
        <w:br/>
      </w:r>
      <w:hyperlink r:id="rId8" w:history="1">
        <w:r w:rsidR="00E34D26" w:rsidRPr="0006189F">
          <w:rPr>
            <w:rStyle w:val="Hyperlink"/>
            <w:rFonts w:cstheme="minorHAnsi"/>
            <w:spacing w:val="-1"/>
            <w:sz w:val="23"/>
            <w:szCs w:val="23"/>
          </w:rPr>
          <w:t>heath.combs@truliantfcu.org</w:t>
        </w:r>
      </w:hyperlink>
      <w:r w:rsidR="00E34D26">
        <w:rPr>
          <w:rFonts w:cstheme="minorHAnsi"/>
          <w:spacing w:val="-1"/>
          <w:sz w:val="23"/>
          <w:szCs w:val="23"/>
        </w:rPr>
        <w:br/>
      </w:r>
      <w:r w:rsidR="00A56CD9" w:rsidRPr="00BD4DA4">
        <w:rPr>
          <w:rFonts w:cstheme="minorHAnsi"/>
          <w:sz w:val="23"/>
          <w:szCs w:val="23"/>
        </w:rPr>
        <w:t>(o)</w:t>
      </w:r>
      <w:r w:rsidR="00A4517F" w:rsidRPr="00BD4DA4">
        <w:rPr>
          <w:rFonts w:cstheme="minorHAnsi"/>
          <w:spacing w:val="-1"/>
          <w:sz w:val="23"/>
          <w:szCs w:val="23"/>
        </w:rPr>
        <w:t xml:space="preserve"> 336.2</w:t>
      </w:r>
      <w:r w:rsidR="009160DE" w:rsidRPr="00BD4DA4">
        <w:rPr>
          <w:rFonts w:cstheme="minorHAnsi"/>
          <w:spacing w:val="-1"/>
          <w:sz w:val="23"/>
          <w:szCs w:val="23"/>
        </w:rPr>
        <w:t>93.2054</w:t>
      </w:r>
      <w:r w:rsidR="009160DE" w:rsidRPr="00BD4DA4">
        <w:rPr>
          <w:rFonts w:cstheme="minorHAnsi"/>
          <w:spacing w:val="-1"/>
          <w:sz w:val="23"/>
          <w:szCs w:val="23"/>
        </w:rPr>
        <w:br/>
      </w:r>
    </w:p>
    <w:p w:rsidR="009160DE" w:rsidRPr="00BD4DA4" w:rsidRDefault="007F5044" w:rsidP="009160DE">
      <w:pPr>
        <w:jc w:val="center"/>
        <w:rPr>
          <w:rFonts w:cstheme="minorHAnsi"/>
          <w:b/>
          <w:sz w:val="23"/>
          <w:szCs w:val="23"/>
        </w:rPr>
      </w:pPr>
      <w:r w:rsidRPr="00BD4DA4">
        <w:rPr>
          <w:rFonts w:cstheme="minorHAnsi"/>
          <w:b/>
          <w:sz w:val="23"/>
          <w:szCs w:val="23"/>
        </w:rPr>
        <w:t xml:space="preserve">Truliant </w:t>
      </w:r>
      <w:r w:rsidR="00BE5691">
        <w:rPr>
          <w:rFonts w:cstheme="minorHAnsi"/>
          <w:b/>
          <w:sz w:val="23"/>
          <w:szCs w:val="23"/>
        </w:rPr>
        <w:t>Eliminates</w:t>
      </w:r>
      <w:r w:rsidR="00D173CD" w:rsidRPr="00BD4DA4">
        <w:rPr>
          <w:rFonts w:cstheme="minorHAnsi"/>
          <w:b/>
          <w:sz w:val="23"/>
          <w:szCs w:val="23"/>
        </w:rPr>
        <w:t xml:space="preserve"> </w:t>
      </w:r>
      <w:r w:rsidRPr="00BD4DA4">
        <w:rPr>
          <w:rFonts w:cstheme="minorHAnsi"/>
          <w:b/>
          <w:sz w:val="23"/>
          <w:szCs w:val="23"/>
        </w:rPr>
        <w:t xml:space="preserve">Non-Sufficient Funds </w:t>
      </w:r>
      <w:r w:rsidR="00BE5691">
        <w:rPr>
          <w:rFonts w:cstheme="minorHAnsi"/>
          <w:b/>
          <w:sz w:val="23"/>
          <w:szCs w:val="23"/>
        </w:rPr>
        <w:t>Fee</w:t>
      </w:r>
      <w:r w:rsidRPr="00BD4DA4">
        <w:rPr>
          <w:rFonts w:cstheme="minorHAnsi"/>
          <w:b/>
          <w:sz w:val="23"/>
          <w:szCs w:val="23"/>
        </w:rPr>
        <w:t xml:space="preserve"> </w:t>
      </w:r>
    </w:p>
    <w:p w:rsidR="006515CD" w:rsidRPr="00724D7A" w:rsidRDefault="00791BE7" w:rsidP="0050650C">
      <w:pPr>
        <w:rPr>
          <w:rFonts w:cstheme="minorHAnsi"/>
          <w:sz w:val="23"/>
          <w:szCs w:val="23"/>
          <w:shd w:val="clear" w:color="auto" w:fill="FFFFFF"/>
        </w:rPr>
      </w:pPr>
      <w:r w:rsidRPr="00BD4DA4">
        <w:rPr>
          <w:rFonts w:cstheme="minorHAnsi"/>
          <w:sz w:val="23"/>
          <w:szCs w:val="23"/>
        </w:rPr>
        <w:t xml:space="preserve">WINSTON-SALEM, N.C. </w:t>
      </w:r>
      <w:r w:rsidR="0017139F" w:rsidRPr="00BD4DA4">
        <w:rPr>
          <w:rFonts w:cstheme="minorHAnsi"/>
          <w:sz w:val="23"/>
          <w:szCs w:val="23"/>
        </w:rPr>
        <w:t>(</w:t>
      </w:r>
      <w:r w:rsidR="00004330">
        <w:rPr>
          <w:rFonts w:cstheme="minorHAnsi"/>
          <w:sz w:val="23"/>
          <w:szCs w:val="23"/>
        </w:rPr>
        <w:t>Feb. 15</w:t>
      </w:r>
      <w:r w:rsidRPr="00BD4DA4">
        <w:rPr>
          <w:rFonts w:cstheme="minorHAnsi"/>
          <w:sz w:val="23"/>
          <w:szCs w:val="23"/>
        </w:rPr>
        <w:t>,</w:t>
      </w:r>
      <w:r w:rsidR="0017139F" w:rsidRPr="00BD4DA4">
        <w:rPr>
          <w:rFonts w:cstheme="minorHAnsi"/>
          <w:sz w:val="23"/>
          <w:szCs w:val="23"/>
        </w:rPr>
        <w:t xml:space="preserve"> 2023)</w:t>
      </w:r>
      <w:r w:rsidR="009160DE" w:rsidRPr="00BD4DA4">
        <w:rPr>
          <w:rFonts w:cstheme="minorHAnsi"/>
          <w:sz w:val="23"/>
          <w:szCs w:val="23"/>
        </w:rPr>
        <w:t xml:space="preserve"> – </w:t>
      </w:r>
      <w:r w:rsidR="00D15352" w:rsidRPr="00BD4DA4">
        <w:rPr>
          <w:rFonts w:cstheme="minorHAnsi"/>
          <w:sz w:val="23"/>
          <w:szCs w:val="23"/>
          <w:shd w:val="clear" w:color="auto" w:fill="FFFFFF"/>
        </w:rPr>
        <w:t xml:space="preserve">Truliant Federal Credit Union announced today </w:t>
      </w:r>
      <w:r w:rsidR="00851320">
        <w:rPr>
          <w:rFonts w:cstheme="minorHAnsi"/>
          <w:sz w:val="23"/>
          <w:szCs w:val="23"/>
          <w:shd w:val="clear" w:color="auto" w:fill="FFFFFF"/>
        </w:rPr>
        <w:t>it</w:t>
      </w:r>
      <w:r w:rsidR="007F5044" w:rsidRPr="00BD4DA4">
        <w:rPr>
          <w:rFonts w:cstheme="minorHAnsi"/>
          <w:sz w:val="23"/>
          <w:szCs w:val="23"/>
          <w:shd w:val="clear" w:color="auto" w:fill="FFFFFF"/>
        </w:rPr>
        <w:t xml:space="preserve"> will </w:t>
      </w:r>
      <w:r w:rsidR="00CE334C">
        <w:rPr>
          <w:rFonts w:cstheme="minorHAnsi"/>
          <w:sz w:val="23"/>
          <w:szCs w:val="23"/>
          <w:shd w:val="clear" w:color="auto" w:fill="FFFFFF"/>
        </w:rPr>
        <w:t>no longer charge a fee for rejecting transactions as unpaid, commonly referred to as a non-sufficient funds fee</w:t>
      </w:r>
      <w:r w:rsidR="00274657">
        <w:rPr>
          <w:rFonts w:cstheme="minorHAnsi"/>
          <w:sz w:val="23"/>
          <w:szCs w:val="23"/>
          <w:shd w:val="clear" w:color="auto" w:fill="FFFFFF"/>
        </w:rPr>
        <w:t xml:space="preserve"> (NSF</w:t>
      </w:r>
      <w:r w:rsidR="00274657" w:rsidRPr="00724D7A">
        <w:rPr>
          <w:rFonts w:cstheme="minorHAnsi"/>
          <w:sz w:val="23"/>
          <w:szCs w:val="23"/>
          <w:shd w:val="clear" w:color="auto" w:fill="FFFFFF"/>
        </w:rPr>
        <w:t>)</w:t>
      </w:r>
      <w:r w:rsidR="00094C92" w:rsidRPr="00724D7A">
        <w:rPr>
          <w:rFonts w:cstheme="minorHAnsi"/>
          <w:sz w:val="23"/>
          <w:szCs w:val="23"/>
          <w:shd w:val="clear" w:color="auto" w:fill="FFFFFF"/>
        </w:rPr>
        <w:t xml:space="preserve">. Additionally, </w:t>
      </w:r>
      <w:r w:rsidR="00004330" w:rsidRPr="00724D7A">
        <w:rPr>
          <w:rFonts w:cstheme="minorHAnsi"/>
          <w:sz w:val="23"/>
          <w:szCs w:val="23"/>
          <w:shd w:val="clear" w:color="auto" w:fill="FFFFFF"/>
        </w:rPr>
        <w:t xml:space="preserve">it is </w:t>
      </w:r>
      <w:r w:rsidR="0063053D" w:rsidRPr="00724D7A">
        <w:rPr>
          <w:rFonts w:cstheme="minorHAnsi"/>
          <w:sz w:val="23"/>
          <w:szCs w:val="23"/>
          <w:shd w:val="clear" w:color="auto" w:fill="FFFFFF"/>
        </w:rPr>
        <w:t>introducing</w:t>
      </w:r>
      <w:r w:rsidR="00922482" w:rsidRPr="00724D7A">
        <w:rPr>
          <w:rFonts w:cstheme="minorHAnsi"/>
          <w:sz w:val="23"/>
          <w:szCs w:val="23"/>
          <w:shd w:val="clear" w:color="auto" w:fill="FFFFFF"/>
        </w:rPr>
        <w:t xml:space="preserve"> reduced costs with</w:t>
      </w:r>
      <w:r w:rsidR="0063053D" w:rsidRPr="00724D7A">
        <w:rPr>
          <w:rFonts w:cstheme="minorHAnsi"/>
          <w:sz w:val="23"/>
          <w:szCs w:val="23"/>
          <w:shd w:val="clear" w:color="auto" w:fill="FFFFFF"/>
        </w:rPr>
        <w:t xml:space="preserve"> improved </w:t>
      </w:r>
      <w:r w:rsidR="00922482" w:rsidRPr="00724D7A">
        <w:rPr>
          <w:rFonts w:cstheme="minorHAnsi"/>
          <w:sz w:val="23"/>
          <w:szCs w:val="23"/>
          <w:shd w:val="clear" w:color="auto" w:fill="FFFFFF"/>
        </w:rPr>
        <w:t>choice</w:t>
      </w:r>
      <w:r w:rsidR="002A4F55" w:rsidRPr="00724D7A">
        <w:rPr>
          <w:rFonts w:cstheme="minorHAnsi"/>
          <w:sz w:val="23"/>
          <w:szCs w:val="23"/>
          <w:shd w:val="clear" w:color="auto" w:fill="FFFFFF"/>
        </w:rPr>
        <w:t>s</w:t>
      </w:r>
      <w:r w:rsidR="00922482" w:rsidRPr="00724D7A">
        <w:rPr>
          <w:rFonts w:cstheme="minorHAnsi"/>
          <w:sz w:val="23"/>
          <w:szCs w:val="23"/>
          <w:shd w:val="clear" w:color="auto" w:fill="FFFFFF"/>
        </w:rPr>
        <w:t xml:space="preserve"> for </w:t>
      </w:r>
      <w:r w:rsidR="00A65984" w:rsidRPr="00724D7A">
        <w:rPr>
          <w:rFonts w:cstheme="minorHAnsi"/>
          <w:sz w:val="23"/>
          <w:szCs w:val="23"/>
          <w:shd w:val="clear" w:color="auto" w:fill="FFFFFF"/>
        </w:rPr>
        <w:t xml:space="preserve">overdraft </w:t>
      </w:r>
      <w:r w:rsidR="0063053D" w:rsidRPr="00724D7A">
        <w:rPr>
          <w:rFonts w:cstheme="minorHAnsi"/>
          <w:sz w:val="23"/>
          <w:szCs w:val="23"/>
          <w:shd w:val="clear" w:color="auto" w:fill="FFFFFF"/>
        </w:rPr>
        <w:t>services</w:t>
      </w:r>
      <w:r w:rsidR="00922482" w:rsidRPr="00724D7A">
        <w:rPr>
          <w:rFonts w:cstheme="minorHAnsi"/>
          <w:sz w:val="23"/>
          <w:szCs w:val="23"/>
          <w:shd w:val="clear" w:color="auto" w:fill="FFFFFF"/>
        </w:rPr>
        <w:t>.</w:t>
      </w:r>
      <w:r w:rsidR="0063053D" w:rsidRPr="00724D7A">
        <w:rPr>
          <w:rFonts w:cstheme="minorHAnsi"/>
          <w:sz w:val="23"/>
          <w:szCs w:val="23"/>
          <w:shd w:val="clear" w:color="auto" w:fill="FFFFFF"/>
        </w:rPr>
        <w:t xml:space="preserve"> </w:t>
      </w:r>
    </w:p>
    <w:p w:rsidR="00A737E9" w:rsidRPr="00724D7A" w:rsidRDefault="00A737E9" w:rsidP="00A737E9">
      <w:pPr>
        <w:rPr>
          <w:rFonts w:cstheme="minorHAnsi"/>
          <w:sz w:val="23"/>
          <w:szCs w:val="23"/>
          <w:shd w:val="clear" w:color="auto" w:fill="FFFFFF"/>
        </w:rPr>
      </w:pPr>
      <w:r w:rsidRPr="00724D7A">
        <w:rPr>
          <w:rFonts w:cstheme="minorHAnsi"/>
          <w:sz w:val="23"/>
          <w:szCs w:val="23"/>
          <w:shd w:val="clear" w:color="auto" w:fill="FFFFFF"/>
        </w:rPr>
        <w:t xml:space="preserve">An NSF fee typically occurs when a member does not have available funds to pay a transaction, and has exhausted all payment options. </w:t>
      </w:r>
      <w:r w:rsidR="00A47272" w:rsidRPr="00724D7A">
        <w:rPr>
          <w:rFonts w:cstheme="minorHAnsi"/>
          <w:sz w:val="23"/>
          <w:szCs w:val="23"/>
          <w:shd w:val="clear" w:color="auto" w:fill="FFFFFF"/>
        </w:rPr>
        <w:t xml:space="preserve">Truliant is </w:t>
      </w:r>
      <w:r w:rsidR="00E91917" w:rsidRPr="00724D7A">
        <w:rPr>
          <w:rFonts w:cstheme="minorHAnsi"/>
          <w:sz w:val="23"/>
          <w:szCs w:val="23"/>
          <w:shd w:val="clear" w:color="auto" w:fill="FFFFFF"/>
        </w:rPr>
        <w:t xml:space="preserve">also </w:t>
      </w:r>
      <w:r w:rsidR="00A47272" w:rsidRPr="00724D7A">
        <w:rPr>
          <w:rFonts w:cstheme="minorHAnsi"/>
          <w:sz w:val="23"/>
          <w:szCs w:val="23"/>
          <w:shd w:val="clear" w:color="auto" w:fill="FFFFFF"/>
        </w:rPr>
        <w:t xml:space="preserve">reducing </w:t>
      </w:r>
      <w:r w:rsidRPr="00724D7A">
        <w:rPr>
          <w:rFonts w:cstheme="minorHAnsi"/>
          <w:sz w:val="23"/>
          <w:szCs w:val="23"/>
          <w:shd w:val="clear" w:color="auto" w:fill="FFFFFF"/>
        </w:rPr>
        <w:t xml:space="preserve">its fee for overdraft </w:t>
      </w:r>
      <w:r w:rsidR="002A4F55" w:rsidRPr="00724D7A">
        <w:rPr>
          <w:rFonts w:cstheme="minorHAnsi"/>
          <w:sz w:val="23"/>
          <w:szCs w:val="23"/>
          <w:shd w:val="clear" w:color="auto" w:fill="FFFFFF"/>
        </w:rPr>
        <w:t xml:space="preserve">services </w:t>
      </w:r>
      <w:r w:rsidRPr="00724D7A">
        <w:rPr>
          <w:rFonts w:cstheme="minorHAnsi"/>
          <w:sz w:val="23"/>
          <w:szCs w:val="23"/>
          <w:shd w:val="clear" w:color="auto" w:fill="FFFFFF"/>
        </w:rPr>
        <w:t xml:space="preserve">and will only assess </w:t>
      </w:r>
      <w:r w:rsidR="002A4F55" w:rsidRPr="00724D7A">
        <w:rPr>
          <w:rFonts w:cstheme="minorHAnsi"/>
          <w:sz w:val="23"/>
          <w:szCs w:val="23"/>
          <w:shd w:val="clear" w:color="auto" w:fill="FFFFFF"/>
        </w:rPr>
        <w:t>a</w:t>
      </w:r>
      <w:r w:rsidR="004C35FB" w:rsidRPr="00724D7A">
        <w:rPr>
          <w:rFonts w:cstheme="minorHAnsi"/>
          <w:sz w:val="23"/>
          <w:szCs w:val="23"/>
          <w:shd w:val="clear" w:color="auto" w:fill="FFFFFF"/>
        </w:rPr>
        <w:t xml:space="preserve"> charge</w:t>
      </w:r>
      <w:r w:rsidRPr="00724D7A">
        <w:rPr>
          <w:rFonts w:cstheme="minorHAnsi"/>
          <w:sz w:val="23"/>
          <w:szCs w:val="23"/>
          <w:shd w:val="clear" w:color="auto" w:fill="FFFFFF"/>
        </w:rPr>
        <w:t xml:space="preserve"> when a member benefits from </w:t>
      </w:r>
      <w:r w:rsidR="004C35FB" w:rsidRPr="00724D7A">
        <w:rPr>
          <w:rFonts w:cstheme="minorHAnsi"/>
          <w:sz w:val="23"/>
          <w:szCs w:val="23"/>
          <w:shd w:val="clear" w:color="auto" w:fill="FFFFFF"/>
        </w:rPr>
        <w:t>the credit union</w:t>
      </w:r>
      <w:r w:rsidRPr="00724D7A">
        <w:rPr>
          <w:rFonts w:cstheme="minorHAnsi"/>
          <w:sz w:val="23"/>
          <w:szCs w:val="23"/>
          <w:shd w:val="clear" w:color="auto" w:fill="FFFFFF"/>
        </w:rPr>
        <w:t xml:space="preserve"> paying a transaction that wou</w:t>
      </w:r>
      <w:r w:rsidR="004C35FB" w:rsidRPr="00724D7A">
        <w:rPr>
          <w:rFonts w:cstheme="minorHAnsi"/>
          <w:sz w:val="23"/>
          <w:szCs w:val="23"/>
          <w:shd w:val="clear" w:color="auto" w:fill="FFFFFF"/>
        </w:rPr>
        <w:t>ld‘</w:t>
      </w:r>
      <w:r w:rsidRPr="00724D7A">
        <w:rPr>
          <w:rFonts w:cstheme="minorHAnsi"/>
          <w:sz w:val="23"/>
          <w:szCs w:val="23"/>
          <w:shd w:val="clear" w:color="auto" w:fill="FFFFFF"/>
        </w:rPr>
        <w:t xml:space="preserve">ve </w:t>
      </w:r>
      <w:r w:rsidR="002A4F55" w:rsidRPr="00724D7A">
        <w:rPr>
          <w:rFonts w:cstheme="minorHAnsi"/>
          <w:sz w:val="23"/>
          <w:szCs w:val="23"/>
          <w:shd w:val="clear" w:color="auto" w:fill="FFFFFF"/>
        </w:rPr>
        <w:t xml:space="preserve">otherwise </w:t>
      </w:r>
      <w:r w:rsidRPr="00724D7A">
        <w:rPr>
          <w:rFonts w:cstheme="minorHAnsi"/>
          <w:sz w:val="23"/>
          <w:szCs w:val="23"/>
          <w:shd w:val="clear" w:color="auto" w:fill="FFFFFF"/>
        </w:rPr>
        <w:t>been rejected.</w:t>
      </w:r>
    </w:p>
    <w:p w:rsidR="00A47272" w:rsidRPr="00724D7A" w:rsidRDefault="00A737E9" w:rsidP="00A737E9">
      <w:pPr>
        <w:rPr>
          <w:rFonts w:cstheme="minorHAnsi"/>
          <w:sz w:val="23"/>
          <w:szCs w:val="23"/>
          <w:shd w:val="clear" w:color="auto" w:fill="FFFFFF"/>
        </w:rPr>
      </w:pPr>
      <w:r w:rsidRPr="00724D7A">
        <w:rPr>
          <w:rFonts w:cstheme="minorHAnsi"/>
          <w:sz w:val="23"/>
          <w:szCs w:val="23"/>
          <w:shd w:val="clear" w:color="auto" w:fill="FFFFFF"/>
        </w:rPr>
        <w:t>“</w:t>
      </w:r>
      <w:r w:rsidR="000647CB" w:rsidRPr="00724D7A">
        <w:rPr>
          <w:rFonts w:cstheme="minorHAnsi"/>
          <w:sz w:val="23"/>
          <w:szCs w:val="23"/>
          <w:shd w:val="clear" w:color="auto" w:fill="FFFFFF"/>
        </w:rPr>
        <w:t xml:space="preserve">Punitive fees are not the right solution </w:t>
      </w:r>
      <w:r w:rsidR="00EF60B4" w:rsidRPr="00724D7A">
        <w:rPr>
          <w:rFonts w:cstheme="minorHAnsi"/>
          <w:sz w:val="23"/>
          <w:szCs w:val="23"/>
          <w:shd w:val="clear" w:color="auto" w:fill="FFFFFF"/>
        </w:rPr>
        <w:t>to help members manage account balances</w:t>
      </w:r>
      <w:r w:rsidR="00A47272" w:rsidRPr="00724D7A">
        <w:rPr>
          <w:rFonts w:cstheme="minorHAnsi"/>
          <w:sz w:val="23"/>
          <w:szCs w:val="23"/>
          <w:shd w:val="clear" w:color="auto" w:fill="FFFFFF"/>
        </w:rPr>
        <w:t xml:space="preserve">. </w:t>
      </w:r>
      <w:r w:rsidR="00EF60B4" w:rsidRPr="00724D7A">
        <w:rPr>
          <w:rFonts w:cstheme="minorHAnsi"/>
          <w:sz w:val="23"/>
          <w:szCs w:val="23"/>
          <w:shd w:val="clear" w:color="auto" w:fill="FFFFFF"/>
        </w:rPr>
        <w:t>While</w:t>
      </w:r>
      <w:r w:rsidRPr="00724D7A">
        <w:rPr>
          <w:rFonts w:cstheme="minorHAnsi"/>
          <w:sz w:val="23"/>
          <w:szCs w:val="23"/>
          <w:shd w:val="clear" w:color="auto" w:fill="FFFFFF"/>
        </w:rPr>
        <w:t xml:space="preserve"> many financial institutions </w:t>
      </w:r>
      <w:r w:rsidR="00EF60B4" w:rsidRPr="00724D7A">
        <w:rPr>
          <w:rFonts w:cstheme="minorHAnsi"/>
          <w:sz w:val="23"/>
          <w:szCs w:val="23"/>
          <w:shd w:val="clear" w:color="auto" w:fill="FFFFFF"/>
        </w:rPr>
        <w:t xml:space="preserve">have </w:t>
      </w:r>
      <w:r w:rsidR="00280FEA">
        <w:rPr>
          <w:rFonts w:cstheme="minorHAnsi"/>
          <w:sz w:val="23"/>
          <w:szCs w:val="23"/>
          <w:shd w:val="clear" w:color="auto" w:fill="FFFFFF"/>
        </w:rPr>
        <w:t xml:space="preserve">reduced or even </w:t>
      </w:r>
      <w:r w:rsidRPr="00724D7A">
        <w:rPr>
          <w:rFonts w:cstheme="minorHAnsi"/>
          <w:sz w:val="23"/>
          <w:szCs w:val="23"/>
          <w:shd w:val="clear" w:color="auto" w:fill="FFFFFF"/>
        </w:rPr>
        <w:t>stopp</w:t>
      </w:r>
      <w:r w:rsidR="002A4F55" w:rsidRPr="00724D7A">
        <w:rPr>
          <w:rFonts w:cstheme="minorHAnsi"/>
          <w:sz w:val="23"/>
          <w:szCs w:val="23"/>
          <w:shd w:val="clear" w:color="auto" w:fill="FFFFFF"/>
        </w:rPr>
        <w:t>ed providing overdraft coverage</w:t>
      </w:r>
      <w:r w:rsidR="00820FBF" w:rsidRPr="00724D7A">
        <w:rPr>
          <w:rFonts w:cstheme="minorHAnsi"/>
          <w:sz w:val="23"/>
          <w:szCs w:val="23"/>
          <w:shd w:val="clear" w:color="auto" w:fill="FFFFFF"/>
        </w:rPr>
        <w:t>, w</w:t>
      </w:r>
      <w:r w:rsidRPr="00724D7A">
        <w:rPr>
          <w:rFonts w:cstheme="minorHAnsi"/>
          <w:sz w:val="23"/>
          <w:szCs w:val="23"/>
          <w:shd w:val="clear" w:color="auto" w:fill="FFFFFF"/>
        </w:rPr>
        <w:t>e listened to our members, analyzed their need</w:t>
      </w:r>
      <w:r w:rsidR="00261291" w:rsidRPr="00724D7A">
        <w:rPr>
          <w:rFonts w:cstheme="minorHAnsi"/>
          <w:sz w:val="23"/>
          <w:szCs w:val="23"/>
          <w:shd w:val="clear" w:color="auto" w:fill="FFFFFF"/>
        </w:rPr>
        <w:t xml:space="preserve">s, and decided to keep ours,” said Jeremy Cline, vice president of member success and loyalty. </w:t>
      </w:r>
    </w:p>
    <w:p w:rsidR="00A737E9" w:rsidRPr="00724D7A" w:rsidRDefault="00A737E9" w:rsidP="00A737E9">
      <w:pPr>
        <w:rPr>
          <w:rFonts w:cstheme="minorHAnsi"/>
          <w:sz w:val="23"/>
          <w:szCs w:val="23"/>
          <w:shd w:val="clear" w:color="auto" w:fill="FFFFFF"/>
        </w:rPr>
      </w:pPr>
      <w:r w:rsidRPr="00724D7A">
        <w:rPr>
          <w:rFonts w:cstheme="minorHAnsi"/>
          <w:sz w:val="23"/>
          <w:szCs w:val="23"/>
          <w:shd w:val="clear" w:color="auto" w:fill="FFFFFF"/>
        </w:rPr>
        <w:t>He added: “</w:t>
      </w:r>
      <w:r w:rsidR="00261291" w:rsidRPr="00724D7A">
        <w:rPr>
          <w:rFonts w:cstheme="minorHAnsi"/>
          <w:sz w:val="23"/>
          <w:szCs w:val="23"/>
          <w:shd w:val="clear" w:color="auto" w:fill="FFFFFF"/>
        </w:rPr>
        <w:t xml:space="preserve">We’re reducing our members’ costs without diminishing service levels. </w:t>
      </w:r>
      <w:r w:rsidR="00044FF2" w:rsidRPr="00724D7A">
        <w:rPr>
          <w:rFonts w:cstheme="minorHAnsi"/>
          <w:sz w:val="23"/>
          <w:szCs w:val="23"/>
          <w:shd w:val="clear" w:color="auto" w:fill="FFFFFF"/>
        </w:rPr>
        <w:t>O</w:t>
      </w:r>
      <w:r w:rsidRPr="00724D7A">
        <w:rPr>
          <w:rFonts w:cstheme="minorHAnsi"/>
          <w:sz w:val="23"/>
          <w:szCs w:val="23"/>
          <w:shd w:val="clear" w:color="auto" w:fill="FFFFFF"/>
        </w:rPr>
        <w:t xml:space="preserve">ur overdraft services provide much needed liquidity when our members need it most. A rejected transaction due to a mistake or timing issue can </w:t>
      </w:r>
      <w:r w:rsidR="000647CB" w:rsidRPr="00724D7A">
        <w:rPr>
          <w:rFonts w:cstheme="minorHAnsi"/>
          <w:sz w:val="23"/>
          <w:szCs w:val="23"/>
          <w:shd w:val="clear" w:color="auto" w:fill="FFFFFF"/>
        </w:rPr>
        <w:t>be incredibly disruptive</w:t>
      </w:r>
      <w:r w:rsidR="00044FF2" w:rsidRPr="00724D7A">
        <w:rPr>
          <w:rFonts w:cstheme="minorHAnsi"/>
          <w:sz w:val="23"/>
          <w:szCs w:val="23"/>
          <w:shd w:val="clear" w:color="auto" w:fill="FFFFFF"/>
        </w:rPr>
        <w:t>.</w:t>
      </w:r>
      <w:r w:rsidRPr="00724D7A">
        <w:rPr>
          <w:rFonts w:cstheme="minorHAnsi"/>
          <w:sz w:val="23"/>
          <w:szCs w:val="23"/>
          <w:shd w:val="clear" w:color="auto" w:fill="FFFFFF"/>
        </w:rPr>
        <w:t>”</w:t>
      </w:r>
    </w:p>
    <w:p w:rsidR="00A737E9" w:rsidRPr="00724D7A" w:rsidRDefault="00A737E9" w:rsidP="00A737E9">
      <w:pPr>
        <w:rPr>
          <w:rFonts w:cstheme="minorHAnsi"/>
          <w:sz w:val="23"/>
          <w:szCs w:val="23"/>
          <w:shd w:val="clear" w:color="auto" w:fill="FFFFFF"/>
        </w:rPr>
      </w:pPr>
      <w:r w:rsidRPr="00724D7A">
        <w:rPr>
          <w:rFonts w:cstheme="minorHAnsi"/>
          <w:sz w:val="23"/>
          <w:szCs w:val="23"/>
          <w:shd w:val="clear" w:color="auto" w:fill="FFFFFF"/>
        </w:rPr>
        <w:t xml:space="preserve">Truliant paid more than $100 million in member and business checking account overdrafts in 2022. The majority were for large transactions like grocery bills, auto loans and mortgage payments. </w:t>
      </w:r>
    </w:p>
    <w:p w:rsidR="00360BB1" w:rsidRPr="00724D7A" w:rsidRDefault="00A737E9" w:rsidP="00A737E9">
      <w:pPr>
        <w:rPr>
          <w:rFonts w:cstheme="minorHAnsi"/>
          <w:sz w:val="23"/>
          <w:szCs w:val="23"/>
          <w:shd w:val="clear" w:color="auto" w:fill="FFFFFF"/>
        </w:rPr>
      </w:pPr>
      <w:r w:rsidRPr="00724D7A">
        <w:rPr>
          <w:rFonts w:cstheme="minorHAnsi"/>
          <w:sz w:val="23"/>
          <w:szCs w:val="23"/>
          <w:shd w:val="clear" w:color="auto" w:fill="FFFFFF"/>
        </w:rPr>
        <w:t xml:space="preserve">Truliant </w:t>
      </w:r>
      <w:r w:rsidR="00724D7A">
        <w:rPr>
          <w:rFonts w:cstheme="minorHAnsi"/>
          <w:sz w:val="23"/>
          <w:szCs w:val="23"/>
          <w:shd w:val="clear" w:color="auto" w:fill="FFFFFF"/>
        </w:rPr>
        <w:t xml:space="preserve">offers several services </w:t>
      </w:r>
      <w:r w:rsidRPr="00724D7A">
        <w:rPr>
          <w:rFonts w:cstheme="minorHAnsi"/>
          <w:sz w:val="23"/>
          <w:szCs w:val="23"/>
          <w:shd w:val="clear" w:color="auto" w:fill="FFFFFF"/>
        </w:rPr>
        <w:t xml:space="preserve">to </w:t>
      </w:r>
      <w:r w:rsidR="002A4F55" w:rsidRPr="00724D7A">
        <w:rPr>
          <w:rFonts w:cstheme="minorHAnsi"/>
          <w:sz w:val="23"/>
          <w:szCs w:val="23"/>
          <w:shd w:val="clear" w:color="auto" w:fill="FFFFFF"/>
        </w:rPr>
        <w:t xml:space="preserve">help </w:t>
      </w:r>
      <w:r w:rsidRPr="00724D7A">
        <w:rPr>
          <w:rFonts w:cstheme="minorHAnsi"/>
          <w:sz w:val="23"/>
          <w:szCs w:val="23"/>
          <w:shd w:val="clear" w:color="auto" w:fill="FFFFFF"/>
        </w:rPr>
        <w:t xml:space="preserve">manage </w:t>
      </w:r>
      <w:r w:rsidR="00EF60B4" w:rsidRPr="00724D7A">
        <w:rPr>
          <w:rFonts w:cstheme="minorHAnsi"/>
          <w:sz w:val="23"/>
          <w:szCs w:val="23"/>
          <w:shd w:val="clear" w:color="auto" w:fill="FFFFFF"/>
        </w:rPr>
        <w:t>accounts responsibly</w:t>
      </w:r>
      <w:r w:rsidRPr="00724D7A">
        <w:rPr>
          <w:rFonts w:cstheme="minorHAnsi"/>
          <w:sz w:val="23"/>
          <w:szCs w:val="23"/>
          <w:shd w:val="clear" w:color="auto" w:fill="FFFFFF"/>
        </w:rPr>
        <w:t xml:space="preserve">. </w:t>
      </w:r>
      <w:r w:rsidR="00F60DB7">
        <w:rPr>
          <w:rFonts w:cstheme="minorHAnsi"/>
          <w:sz w:val="23"/>
          <w:szCs w:val="23"/>
          <w:shd w:val="clear" w:color="auto" w:fill="FFFFFF"/>
        </w:rPr>
        <w:t xml:space="preserve">Its </w:t>
      </w:r>
      <w:bookmarkStart w:id="0" w:name="_GoBack"/>
      <w:bookmarkEnd w:id="0"/>
      <w:r w:rsidR="00280FEA">
        <w:rPr>
          <w:rFonts w:cstheme="minorHAnsi"/>
          <w:sz w:val="23"/>
          <w:szCs w:val="23"/>
          <w:shd w:val="clear" w:color="auto" w:fill="FFFFFF"/>
        </w:rPr>
        <w:t xml:space="preserve">overdraft transfer and </w:t>
      </w:r>
      <w:r w:rsidRPr="00724D7A">
        <w:rPr>
          <w:rFonts w:cstheme="minorHAnsi"/>
          <w:sz w:val="23"/>
          <w:szCs w:val="23"/>
          <w:shd w:val="clear" w:color="auto" w:fill="FFFFFF"/>
        </w:rPr>
        <w:t xml:space="preserve">Balance Backup overdraft </w:t>
      </w:r>
      <w:r w:rsidR="00280FEA">
        <w:rPr>
          <w:rFonts w:cstheme="minorHAnsi"/>
          <w:sz w:val="23"/>
          <w:szCs w:val="23"/>
          <w:shd w:val="clear" w:color="auto" w:fill="FFFFFF"/>
        </w:rPr>
        <w:t>services</w:t>
      </w:r>
      <w:r w:rsidR="00280FEA" w:rsidRPr="00724D7A">
        <w:rPr>
          <w:rFonts w:cstheme="minorHAnsi"/>
          <w:sz w:val="23"/>
          <w:szCs w:val="23"/>
          <w:shd w:val="clear" w:color="auto" w:fill="FFFFFF"/>
        </w:rPr>
        <w:t xml:space="preserve"> </w:t>
      </w:r>
      <w:r w:rsidRPr="00724D7A">
        <w:rPr>
          <w:rFonts w:cstheme="minorHAnsi"/>
          <w:sz w:val="23"/>
          <w:szCs w:val="23"/>
          <w:shd w:val="clear" w:color="auto" w:fill="FFFFFF"/>
        </w:rPr>
        <w:t xml:space="preserve">provide options </w:t>
      </w:r>
      <w:r w:rsidR="002A4F55" w:rsidRPr="00724D7A">
        <w:rPr>
          <w:rFonts w:cstheme="minorHAnsi"/>
          <w:sz w:val="23"/>
          <w:szCs w:val="23"/>
          <w:shd w:val="clear" w:color="auto" w:fill="FFFFFF"/>
        </w:rPr>
        <w:t xml:space="preserve">that members can choose </w:t>
      </w:r>
      <w:r w:rsidR="00280FEA">
        <w:rPr>
          <w:rFonts w:cstheme="minorHAnsi"/>
          <w:sz w:val="23"/>
          <w:szCs w:val="23"/>
          <w:shd w:val="clear" w:color="auto" w:fill="FFFFFF"/>
        </w:rPr>
        <w:t xml:space="preserve">from </w:t>
      </w:r>
      <w:r w:rsidRPr="00724D7A">
        <w:rPr>
          <w:rFonts w:cstheme="minorHAnsi"/>
          <w:sz w:val="23"/>
          <w:szCs w:val="23"/>
          <w:shd w:val="clear" w:color="auto" w:fill="FFFFFF"/>
        </w:rPr>
        <w:t xml:space="preserve">to </w:t>
      </w:r>
      <w:r w:rsidR="00280FEA">
        <w:rPr>
          <w:rFonts w:cstheme="minorHAnsi"/>
          <w:sz w:val="23"/>
          <w:szCs w:val="23"/>
          <w:shd w:val="clear" w:color="auto" w:fill="FFFFFF"/>
        </w:rPr>
        <w:t>protect their accounts</w:t>
      </w:r>
      <w:r w:rsidRPr="00724D7A">
        <w:rPr>
          <w:rFonts w:cstheme="minorHAnsi"/>
          <w:sz w:val="23"/>
          <w:szCs w:val="23"/>
          <w:shd w:val="clear" w:color="auto" w:fill="FFFFFF"/>
        </w:rPr>
        <w:t>. Truliant also provides multiple account monitor</w:t>
      </w:r>
      <w:r w:rsidR="00EF60B4" w:rsidRPr="00724D7A">
        <w:rPr>
          <w:rFonts w:cstheme="minorHAnsi"/>
          <w:sz w:val="23"/>
          <w:szCs w:val="23"/>
          <w:shd w:val="clear" w:color="auto" w:fill="FFFFFF"/>
        </w:rPr>
        <w:t>ing solution</w:t>
      </w:r>
      <w:r w:rsidR="002A4F55" w:rsidRPr="00724D7A">
        <w:rPr>
          <w:rFonts w:cstheme="minorHAnsi"/>
          <w:sz w:val="23"/>
          <w:szCs w:val="23"/>
          <w:shd w:val="clear" w:color="auto" w:fill="FFFFFF"/>
        </w:rPr>
        <w:t>s</w:t>
      </w:r>
      <w:r w:rsidRPr="00724D7A">
        <w:rPr>
          <w:rFonts w:cstheme="minorHAnsi"/>
          <w:sz w:val="23"/>
          <w:szCs w:val="23"/>
          <w:shd w:val="clear" w:color="auto" w:fill="FFFFFF"/>
        </w:rPr>
        <w:t>, including customizable l</w:t>
      </w:r>
      <w:r w:rsidR="00360BB1" w:rsidRPr="00724D7A">
        <w:rPr>
          <w:rFonts w:cstheme="minorHAnsi"/>
          <w:sz w:val="23"/>
          <w:szCs w:val="23"/>
          <w:shd w:val="clear" w:color="auto" w:fill="FFFFFF"/>
        </w:rPr>
        <w:t>ow balance text notifications</w:t>
      </w:r>
      <w:r w:rsidR="00280FEA">
        <w:rPr>
          <w:rFonts w:cstheme="minorHAnsi"/>
          <w:sz w:val="23"/>
          <w:szCs w:val="23"/>
          <w:shd w:val="clear" w:color="auto" w:fill="FFFFFF"/>
        </w:rPr>
        <w:t xml:space="preserve"> to help their members avoid overdraft fees</w:t>
      </w:r>
      <w:r w:rsidR="00360BB1" w:rsidRPr="00724D7A">
        <w:rPr>
          <w:rFonts w:cstheme="minorHAnsi"/>
          <w:sz w:val="23"/>
          <w:szCs w:val="23"/>
          <w:shd w:val="clear" w:color="auto" w:fill="FFFFFF"/>
        </w:rPr>
        <w:t xml:space="preserve">. </w:t>
      </w:r>
    </w:p>
    <w:p w:rsidR="0050650C" w:rsidRPr="00360BB1" w:rsidRDefault="00A737E9" w:rsidP="00A737E9">
      <w:pPr>
        <w:rPr>
          <w:rFonts w:cstheme="minorHAnsi"/>
          <w:sz w:val="23"/>
          <w:szCs w:val="23"/>
          <w:shd w:val="clear" w:color="auto" w:fill="FFFFFF"/>
        </w:rPr>
      </w:pPr>
      <w:r w:rsidRPr="00724D7A">
        <w:rPr>
          <w:rFonts w:cstheme="minorHAnsi"/>
          <w:sz w:val="23"/>
          <w:szCs w:val="23"/>
          <w:shd w:val="clear" w:color="auto" w:fill="FFFFFF"/>
        </w:rPr>
        <w:t xml:space="preserve">Through Early Pay, Truliant makes funds from recurring automatic deposits available up to two days early to provide </w:t>
      </w:r>
      <w:r w:rsidR="002A4F55" w:rsidRPr="00724D7A">
        <w:rPr>
          <w:rFonts w:cstheme="minorHAnsi"/>
          <w:sz w:val="23"/>
          <w:szCs w:val="23"/>
          <w:shd w:val="clear" w:color="auto" w:fill="FFFFFF"/>
        </w:rPr>
        <w:t xml:space="preserve">members </w:t>
      </w:r>
      <w:r w:rsidRPr="00724D7A">
        <w:rPr>
          <w:rFonts w:cstheme="minorHAnsi"/>
          <w:sz w:val="23"/>
          <w:szCs w:val="23"/>
          <w:shd w:val="clear" w:color="auto" w:fill="FFFFFF"/>
        </w:rPr>
        <w:t>access to funds more quickly. Truliant also offers account transfers from lines of credit or other deposit accounts if they are available.</w:t>
      </w:r>
      <w:r w:rsidRPr="00724D7A">
        <w:rPr>
          <w:rFonts w:cstheme="minorHAnsi"/>
          <w:sz w:val="23"/>
          <w:szCs w:val="23"/>
          <w:shd w:val="clear" w:color="auto" w:fill="FFFFFF"/>
        </w:rPr>
        <w:br/>
      </w:r>
      <w:r w:rsidR="00A65984" w:rsidRPr="00724D7A">
        <w:rPr>
          <w:b/>
          <w:sz w:val="23"/>
          <w:szCs w:val="23"/>
          <w:u w:val="single"/>
        </w:rPr>
        <w:br/>
      </w:r>
      <w:r w:rsidR="009160DE" w:rsidRPr="00724D7A">
        <w:rPr>
          <w:b/>
          <w:sz w:val="23"/>
          <w:szCs w:val="23"/>
          <w:u w:val="single"/>
        </w:rPr>
        <w:t>About Truliant Federal Credit Union</w:t>
      </w:r>
      <w:r w:rsidR="009160DE" w:rsidRPr="00724D7A">
        <w:rPr>
          <w:b/>
          <w:sz w:val="23"/>
          <w:szCs w:val="23"/>
          <w:u w:val="single"/>
        </w:rPr>
        <w:br/>
      </w:r>
      <w:r w:rsidR="009160DE" w:rsidRPr="00724D7A">
        <w:rPr>
          <w:rFonts w:cstheme="minorHAnsi"/>
          <w:sz w:val="23"/>
          <w:szCs w:val="23"/>
        </w:rPr>
        <w:t>Truliant is a mission-driven, not-for-profit financial</w:t>
      </w:r>
      <w:r w:rsidR="009160DE" w:rsidRPr="00BD4DA4">
        <w:rPr>
          <w:rFonts w:cstheme="minorHAnsi"/>
          <w:sz w:val="23"/>
          <w:szCs w:val="23"/>
        </w:rPr>
        <w:t xml:space="preserve"> institution that improves lives by </w:t>
      </w:r>
      <w:r w:rsidR="009160DE" w:rsidRPr="00BD4DA4">
        <w:rPr>
          <w:sz w:val="23"/>
          <w:szCs w:val="23"/>
        </w:rPr>
        <w:lastRenderedPageBreak/>
        <w:t>providing great service and straightforward financial solutions</w:t>
      </w:r>
      <w:r w:rsidR="009160DE" w:rsidRPr="00BD4DA4">
        <w:rPr>
          <w:rFonts w:cstheme="minorHAnsi"/>
          <w:sz w:val="23"/>
          <w:szCs w:val="23"/>
        </w:rPr>
        <w:t xml:space="preserve">. </w:t>
      </w:r>
      <w:r w:rsidR="009160DE" w:rsidRPr="00BD4DA4">
        <w:rPr>
          <w:sz w:val="23"/>
          <w:szCs w:val="23"/>
        </w:rPr>
        <w:t>Truliant was chartered in 1952 and now serves</w:t>
      </w:r>
      <w:r w:rsidR="00094C92">
        <w:rPr>
          <w:sz w:val="23"/>
          <w:szCs w:val="23"/>
        </w:rPr>
        <w:t xml:space="preserve"> </w:t>
      </w:r>
      <w:r w:rsidR="009160DE" w:rsidRPr="00BD4DA4">
        <w:rPr>
          <w:sz w:val="23"/>
          <w:szCs w:val="23"/>
        </w:rPr>
        <w:t>300,000+ members. Truliant has more than 30 Member Financial Centers in North Caroli</w:t>
      </w:r>
      <w:r w:rsidR="00216556" w:rsidRPr="00BD4DA4">
        <w:rPr>
          <w:sz w:val="23"/>
          <w:szCs w:val="23"/>
        </w:rPr>
        <w:t xml:space="preserve">na, South Carolina and Virginia. </w:t>
      </w:r>
    </w:p>
    <w:p w:rsidR="00D934FB" w:rsidRDefault="00D934FB" w:rsidP="0050650C">
      <w:pPr>
        <w:rPr>
          <w:sz w:val="23"/>
          <w:szCs w:val="23"/>
        </w:rPr>
      </w:pPr>
    </w:p>
    <w:p w:rsidR="00D934FB" w:rsidRPr="00BD4DA4" w:rsidRDefault="00D934FB" w:rsidP="0050650C">
      <w:pPr>
        <w:rPr>
          <w:sz w:val="23"/>
          <w:szCs w:val="23"/>
        </w:rPr>
      </w:pPr>
    </w:p>
    <w:sectPr w:rsidR="00D934FB" w:rsidRPr="00BD4DA4" w:rsidSect="004C35FB">
      <w:type w:val="continuous"/>
      <w:pgSz w:w="12240" w:h="15840"/>
      <w:pgMar w:top="144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48" w:rsidRDefault="00060448" w:rsidP="00E155EE">
      <w:pPr>
        <w:spacing w:after="0" w:line="240" w:lineRule="auto"/>
      </w:pPr>
      <w:r>
        <w:separator/>
      </w:r>
    </w:p>
  </w:endnote>
  <w:endnote w:type="continuationSeparator" w:id="0">
    <w:p w:rsidR="00060448" w:rsidRDefault="00060448" w:rsidP="00E1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48" w:rsidRDefault="00060448" w:rsidP="00E155EE">
      <w:pPr>
        <w:spacing w:after="0" w:line="240" w:lineRule="auto"/>
      </w:pPr>
      <w:r>
        <w:separator/>
      </w:r>
    </w:p>
  </w:footnote>
  <w:footnote w:type="continuationSeparator" w:id="0">
    <w:p w:rsidR="00060448" w:rsidRDefault="00060448" w:rsidP="00E1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26" w:rsidRDefault="007A5E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8329D7" wp14:editId="15E91BBD">
          <wp:simplePos x="0" y="0"/>
          <wp:positionH relativeFrom="page">
            <wp:posOffset>19050</wp:posOffset>
          </wp:positionH>
          <wp:positionV relativeFrom="page">
            <wp:posOffset>32886</wp:posOffset>
          </wp:positionV>
          <wp:extent cx="6729984" cy="2322576"/>
          <wp:effectExtent l="0" t="0" r="127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984" cy="2322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C130C"/>
    <w:multiLevelType w:val="hybridMultilevel"/>
    <w:tmpl w:val="DB9C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57BD"/>
    <w:multiLevelType w:val="hybridMultilevel"/>
    <w:tmpl w:val="47E6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0F82"/>
    <w:multiLevelType w:val="hybridMultilevel"/>
    <w:tmpl w:val="C0B2144E"/>
    <w:lvl w:ilvl="0" w:tplc="8BB0582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859C2"/>
    <w:multiLevelType w:val="hybridMultilevel"/>
    <w:tmpl w:val="7010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07837"/>
    <w:multiLevelType w:val="hybridMultilevel"/>
    <w:tmpl w:val="422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07B08"/>
    <w:multiLevelType w:val="hybridMultilevel"/>
    <w:tmpl w:val="8422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E"/>
    <w:rsid w:val="0000005C"/>
    <w:rsid w:val="00004330"/>
    <w:rsid w:val="0000547E"/>
    <w:rsid w:val="000106CF"/>
    <w:rsid w:val="00017025"/>
    <w:rsid w:val="00020E29"/>
    <w:rsid w:val="00022D5E"/>
    <w:rsid w:val="000235BB"/>
    <w:rsid w:val="00023788"/>
    <w:rsid w:val="0003246F"/>
    <w:rsid w:val="00036016"/>
    <w:rsid w:val="00042C78"/>
    <w:rsid w:val="00043F46"/>
    <w:rsid w:val="00044FF2"/>
    <w:rsid w:val="00054E17"/>
    <w:rsid w:val="00055BFC"/>
    <w:rsid w:val="00055EBF"/>
    <w:rsid w:val="00060448"/>
    <w:rsid w:val="00060FE1"/>
    <w:rsid w:val="0006239C"/>
    <w:rsid w:val="000647CB"/>
    <w:rsid w:val="000716BB"/>
    <w:rsid w:val="00071A99"/>
    <w:rsid w:val="000730E6"/>
    <w:rsid w:val="00073DB0"/>
    <w:rsid w:val="00083D3A"/>
    <w:rsid w:val="0008621A"/>
    <w:rsid w:val="0008792C"/>
    <w:rsid w:val="00091549"/>
    <w:rsid w:val="00093C4E"/>
    <w:rsid w:val="00094C92"/>
    <w:rsid w:val="000A49EA"/>
    <w:rsid w:val="000A6C44"/>
    <w:rsid w:val="000B36A9"/>
    <w:rsid w:val="000B4361"/>
    <w:rsid w:val="000C63C1"/>
    <w:rsid w:val="000C7917"/>
    <w:rsid w:val="000D029A"/>
    <w:rsid w:val="000D2783"/>
    <w:rsid w:val="000D3F2E"/>
    <w:rsid w:val="000D6DC9"/>
    <w:rsid w:val="000E120F"/>
    <w:rsid w:val="000E3F7B"/>
    <w:rsid w:val="000E4D2B"/>
    <w:rsid w:val="000E4E55"/>
    <w:rsid w:val="000E5FFD"/>
    <w:rsid w:val="000E6D21"/>
    <w:rsid w:val="000F2056"/>
    <w:rsid w:val="000F2A70"/>
    <w:rsid w:val="000F652B"/>
    <w:rsid w:val="00102C3B"/>
    <w:rsid w:val="00107133"/>
    <w:rsid w:val="00107BF7"/>
    <w:rsid w:val="00113452"/>
    <w:rsid w:val="001324CD"/>
    <w:rsid w:val="00134895"/>
    <w:rsid w:val="00136F2B"/>
    <w:rsid w:val="00137E21"/>
    <w:rsid w:val="00142F0E"/>
    <w:rsid w:val="0014329A"/>
    <w:rsid w:val="00145E91"/>
    <w:rsid w:val="001468C4"/>
    <w:rsid w:val="00150AE8"/>
    <w:rsid w:val="001521D4"/>
    <w:rsid w:val="00155243"/>
    <w:rsid w:val="00160D49"/>
    <w:rsid w:val="00161615"/>
    <w:rsid w:val="0016309D"/>
    <w:rsid w:val="0016647A"/>
    <w:rsid w:val="0017139F"/>
    <w:rsid w:val="00177027"/>
    <w:rsid w:val="00180C79"/>
    <w:rsid w:val="001908D1"/>
    <w:rsid w:val="00195862"/>
    <w:rsid w:val="001B0F62"/>
    <w:rsid w:val="001B1576"/>
    <w:rsid w:val="001B541C"/>
    <w:rsid w:val="001C06D5"/>
    <w:rsid w:val="001C2DE4"/>
    <w:rsid w:val="001C6A8B"/>
    <w:rsid w:val="001D3CC6"/>
    <w:rsid w:val="001D485B"/>
    <w:rsid w:val="001D4E18"/>
    <w:rsid w:val="001D55BB"/>
    <w:rsid w:val="001D5D4B"/>
    <w:rsid w:val="001D5DD4"/>
    <w:rsid w:val="001E1D28"/>
    <w:rsid w:val="001E2E8D"/>
    <w:rsid w:val="001E3256"/>
    <w:rsid w:val="001F0725"/>
    <w:rsid w:val="001F4455"/>
    <w:rsid w:val="001F74FC"/>
    <w:rsid w:val="0020008A"/>
    <w:rsid w:val="002040A3"/>
    <w:rsid w:val="00205824"/>
    <w:rsid w:val="0021378C"/>
    <w:rsid w:val="00216556"/>
    <w:rsid w:val="00216DC6"/>
    <w:rsid w:val="00221F5D"/>
    <w:rsid w:val="00230D54"/>
    <w:rsid w:val="002347ED"/>
    <w:rsid w:val="00245730"/>
    <w:rsid w:val="00257278"/>
    <w:rsid w:val="002611B9"/>
    <w:rsid w:val="00261291"/>
    <w:rsid w:val="002630B6"/>
    <w:rsid w:val="00263A6B"/>
    <w:rsid w:val="002652EF"/>
    <w:rsid w:val="002655F0"/>
    <w:rsid w:val="00274657"/>
    <w:rsid w:val="00280FEA"/>
    <w:rsid w:val="00282D3E"/>
    <w:rsid w:val="00297D21"/>
    <w:rsid w:val="002A2D11"/>
    <w:rsid w:val="002A4F55"/>
    <w:rsid w:val="002A60CD"/>
    <w:rsid w:val="002A7389"/>
    <w:rsid w:val="002A77E8"/>
    <w:rsid w:val="002A78A7"/>
    <w:rsid w:val="002B0BE8"/>
    <w:rsid w:val="002B253F"/>
    <w:rsid w:val="002C0200"/>
    <w:rsid w:val="002C3651"/>
    <w:rsid w:val="002C6D6A"/>
    <w:rsid w:val="002D2323"/>
    <w:rsid w:val="002D6D7F"/>
    <w:rsid w:val="002E0FDA"/>
    <w:rsid w:val="002E5927"/>
    <w:rsid w:val="002E7C91"/>
    <w:rsid w:val="002F0019"/>
    <w:rsid w:val="002F0EAD"/>
    <w:rsid w:val="002F60E6"/>
    <w:rsid w:val="00300183"/>
    <w:rsid w:val="00300D2E"/>
    <w:rsid w:val="003058AF"/>
    <w:rsid w:val="003107D5"/>
    <w:rsid w:val="003143CE"/>
    <w:rsid w:val="00322D72"/>
    <w:rsid w:val="00333824"/>
    <w:rsid w:val="003352C9"/>
    <w:rsid w:val="00340907"/>
    <w:rsid w:val="0034104C"/>
    <w:rsid w:val="00353724"/>
    <w:rsid w:val="00354071"/>
    <w:rsid w:val="00356210"/>
    <w:rsid w:val="00360BB1"/>
    <w:rsid w:val="00363651"/>
    <w:rsid w:val="0037420F"/>
    <w:rsid w:val="00375C0D"/>
    <w:rsid w:val="00376DAA"/>
    <w:rsid w:val="003861DB"/>
    <w:rsid w:val="00387A68"/>
    <w:rsid w:val="00387FDB"/>
    <w:rsid w:val="0039284F"/>
    <w:rsid w:val="00393B4B"/>
    <w:rsid w:val="00394951"/>
    <w:rsid w:val="003A0FED"/>
    <w:rsid w:val="003A3D67"/>
    <w:rsid w:val="003B1211"/>
    <w:rsid w:val="003B39A2"/>
    <w:rsid w:val="003B3F91"/>
    <w:rsid w:val="003B7727"/>
    <w:rsid w:val="003C16BB"/>
    <w:rsid w:val="003D6BF0"/>
    <w:rsid w:val="003D6E89"/>
    <w:rsid w:val="003E3930"/>
    <w:rsid w:val="003E5DBB"/>
    <w:rsid w:val="003E685A"/>
    <w:rsid w:val="003F0A4F"/>
    <w:rsid w:val="003F11BA"/>
    <w:rsid w:val="003F3323"/>
    <w:rsid w:val="004017D9"/>
    <w:rsid w:val="00410050"/>
    <w:rsid w:val="004104B4"/>
    <w:rsid w:val="004116F2"/>
    <w:rsid w:val="00413B74"/>
    <w:rsid w:val="00424FC3"/>
    <w:rsid w:val="004335E9"/>
    <w:rsid w:val="00441526"/>
    <w:rsid w:val="00444140"/>
    <w:rsid w:val="00445656"/>
    <w:rsid w:val="004473A6"/>
    <w:rsid w:val="004509BD"/>
    <w:rsid w:val="0045309A"/>
    <w:rsid w:val="004558B1"/>
    <w:rsid w:val="00456DB7"/>
    <w:rsid w:val="00464CB8"/>
    <w:rsid w:val="00466A03"/>
    <w:rsid w:val="00472522"/>
    <w:rsid w:val="0048051D"/>
    <w:rsid w:val="004823AC"/>
    <w:rsid w:val="004842A4"/>
    <w:rsid w:val="0049677E"/>
    <w:rsid w:val="004A3691"/>
    <w:rsid w:val="004A70BB"/>
    <w:rsid w:val="004B009B"/>
    <w:rsid w:val="004B2918"/>
    <w:rsid w:val="004B3A0D"/>
    <w:rsid w:val="004B6D84"/>
    <w:rsid w:val="004C2403"/>
    <w:rsid w:val="004C35FB"/>
    <w:rsid w:val="004C6711"/>
    <w:rsid w:val="004E3B99"/>
    <w:rsid w:val="004E58B1"/>
    <w:rsid w:val="004F18EB"/>
    <w:rsid w:val="004F2EA6"/>
    <w:rsid w:val="004F43AD"/>
    <w:rsid w:val="004F549C"/>
    <w:rsid w:val="004F6B59"/>
    <w:rsid w:val="00505511"/>
    <w:rsid w:val="0050650C"/>
    <w:rsid w:val="00507477"/>
    <w:rsid w:val="0051338A"/>
    <w:rsid w:val="00516695"/>
    <w:rsid w:val="00521473"/>
    <w:rsid w:val="00521837"/>
    <w:rsid w:val="005236EF"/>
    <w:rsid w:val="005373CB"/>
    <w:rsid w:val="00541F05"/>
    <w:rsid w:val="005420C6"/>
    <w:rsid w:val="005460B0"/>
    <w:rsid w:val="00546414"/>
    <w:rsid w:val="00547BC4"/>
    <w:rsid w:val="00560B49"/>
    <w:rsid w:val="00561148"/>
    <w:rsid w:val="00566753"/>
    <w:rsid w:val="00572504"/>
    <w:rsid w:val="00573346"/>
    <w:rsid w:val="005746BC"/>
    <w:rsid w:val="00590297"/>
    <w:rsid w:val="0059130F"/>
    <w:rsid w:val="005923AF"/>
    <w:rsid w:val="0059375A"/>
    <w:rsid w:val="00594688"/>
    <w:rsid w:val="00597800"/>
    <w:rsid w:val="005A17ED"/>
    <w:rsid w:val="005A57F1"/>
    <w:rsid w:val="005B320E"/>
    <w:rsid w:val="005C2219"/>
    <w:rsid w:val="005C4CDC"/>
    <w:rsid w:val="005C7EB2"/>
    <w:rsid w:val="005D18D6"/>
    <w:rsid w:val="005D3687"/>
    <w:rsid w:val="005D3974"/>
    <w:rsid w:val="005D67DE"/>
    <w:rsid w:val="005F3BCE"/>
    <w:rsid w:val="005F4BFD"/>
    <w:rsid w:val="00600E82"/>
    <w:rsid w:val="006029B2"/>
    <w:rsid w:val="006057B7"/>
    <w:rsid w:val="00606C4C"/>
    <w:rsid w:val="00606F9E"/>
    <w:rsid w:val="006106E7"/>
    <w:rsid w:val="00612748"/>
    <w:rsid w:val="00612C25"/>
    <w:rsid w:val="00622526"/>
    <w:rsid w:val="0062326C"/>
    <w:rsid w:val="0063053D"/>
    <w:rsid w:val="006359DF"/>
    <w:rsid w:val="006369FB"/>
    <w:rsid w:val="006405F0"/>
    <w:rsid w:val="00647036"/>
    <w:rsid w:val="00650960"/>
    <w:rsid w:val="006515CD"/>
    <w:rsid w:val="00651B12"/>
    <w:rsid w:val="0065235E"/>
    <w:rsid w:val="00653A76"/>
    <w:rsid w:val="0065483D"/>
    <w:rsid w:val="0065759E"/>
    <w:rsid w:val="00663440"/>
    <w:rsid w:val="00671C1E"/>
    <w:rsid w:val="00677996"/>
    <w:rsid w:val="00685D5F"/>
    <w:rsid w:val="006863A8"/>
    <w:rsid w:val="00690962"/>
    <w:rsid w:val="00694A57"/>
    <w:rsid w:val="00695AF3"/>
    <w:rsid w:val="006A09F5"/>
    <w:rsid w:val="006A52F5"/>
    <w:rsid w:val="006A7092"/>
    <w:rsid w:val="006B5A77"/>
    <w:rsid w:val="006B79F4"/>
    <w:rsid w:val="006C0AAB"/>
    <w:rsid w:val="006C1233"/>
    <w:rsid w:val="006C3063"/>
    <w:rsid w:val="006C7DA7"/>
    <w:rsid w:val="006D0942"/>
    <w:rsid w:val="006D120D"/>
    <w:rsid w:val="006E72BF"/>
    <w:rsid w:val="006F438C"/>
    <w:rsid w:val="006F6CD1"/>
    <w:rsid w:val="006F7C28"/>
    <w:rsid w:val="0070472D"/>
    <w:rsid w:val="00704A8F"/>
    <w:rsid w:val="007121E6"/>
    <w:rsid w:val="007215C8"/>
    <w:rsid w:val="00724D7A"/>
    <w:rsid w:val="00726451"/>
    <w:rsid w:val="00734537"/>
    <w:rsid w:val="00736EED"/>
    <w:rsid w:val="00741EA3"/>
    <w:rsid w:val="00747B24"/>
    <w:rsid w:val="007500F9"/>
    <w:rsid w:val="00757457"/>
    <w:rsid w:val="00765C0E"/>
    <w:rsid w:val="00770EA5"/>
    <w:rsid w:val="007713FA"/>
    <w:rsid w:val="0077744B"/>
    <w:rsid w:val="00781744"/>
    <w:rsid w:val="00782ED6"/>
    <w:rsid w:val="00785407"/>
    <w:rsid w:val="00786999"/>
    <w:rsid w:val="0078740B"/>
    <w:rsid w:val="00787B81"/>
    <w:rsid w:val="00791BE7"/>
    <w:rsid w:val="00795671"/>
    <w:rsid w:val="00796970"/>
    <w:rsid w:val="00797A6B"/>
    <w:rsid w:val="007A5467"/>
    <w:rsid w:val="007A5E74"/>
    <w:rsid w:val="007C0386"/>
    <w:rsid w:val="007C695F"/>
    <w:rsid w:val="007D095B"/>
    <w:rsid w:val="007D1B89"/>
    <w:rsid w:val="007D2C83"/>
    <w:rsid w:val="007D67F0"/>
    <w:rsid w:val="007D7350"/>
    <w:rsid w:val="007E3501"/>
    <w:rsid w:val="007E38A6"/>
    <w:rsid w:val="007E6AB4"/>
    <w:rsid w:val="007F1EC9"/>
    <w:rsid w:val="007F5044"/>
    <w:rsid w:val="007F74A3"/>
    <w:rsid w:val="007F7F11"/>
    <w:rsid w:val="008028F0"/>
    <w:rsid w:val="0080341F"/>
    <w:rsid w:val="00806CDC"/>
    <w:rsid w:val="008174CF"/>
    <w:rsid w:val="00820FBF"/>
    <w:rsid w:val="0082497A"/>
    <w:rsid w:val="0083047B"/>
    <w:rsid w:val="00834B23"/>
    <w:rsid w:val="008354FB"/>
    <w:rsid w:val="00835C74"/>
    <w:rsid w:val="008401F4"/>
    <w:rsid w:val="00841D14"/>
    <w:rsid w:val="008423E0"/>
    <w:rsid w:val="00845EEB"/>
    <w:rsid w:val="00851320"/>
    <w:rsid w:val="008532C4"/>
    <w:rsid w:val="00854A40"/>
    <w:rsid w:val="00855831"/>
    <w:rsid w:val="00866077"/>
    <w:rsid w:val="0087799C"/>
    <w:rsid w:val="00877F26"/>
    <w:rsid w:val="0088704C"/>
    <w:rsid w:val="008902A7"/>
    <w:rsid w:val="008925EF"/>
    <w:rsid w:val="00895179"/>
    <w:rsid w:val="008A0E38"/>
    <w:rsid w:val="008A4FD8"/>
    <w:rsid w:val="008B3FEB"/>
    <w:rsid w:val="008C7829"/>
    <w:rsid w:val="008C7A52"/>
    <w:rsid w:val="008C7D9A"/>
    <w:rsid w:val="008D21BA"/>
    <w:rsid w:val="008E2F06"/>
    <w:rsid w:val="008F26F2"/>
    <w:rsid w:val="008F7037"/>
    <w:rsid w:val="009066C8"/>
    <w:rsid w:val="00910F81"/>
    <w:rsid w:val="009157A2"/>
    <w:rsid w:val="009160DE"/>
    <w:rsid w:val="00917334"/>
    <w:rsid w:val="00922482"/>
    <w:rsid w:val="00922A75"/>
    <w:rsid w:val="00923459"/>
    <w:rsid w:val="009246F5"/>
    <w:rsid w:val="00924F85"/>
    <w:rsid w:val="00930575"/>
    <w:rsid w:val="00930F14"/>
    <w:rsid w:val="00936E07"/>
    <w:rsid w:val="009538B1"/>
    <w:rsid w:val="00957EB8"/>
    <w:rsid w:val="00963326"/>
    <w:rsid w:val="00966E58"/>
    <w:rsid w:val="00967431"/>
    <w:rsid w:val="00973742"/>
    <w:rsid w:val="00973769"/>
    <w:rsid w:val="00980289"/>
    <w:rsid w:val="009826DB"/>
    <w:rsid w:val="009828F4"/>
    <w:rsid w:val="00982F85"/>
    <w:rsid w:val="009862C8"/>
    <w:rsid w:val="0099177E"/>
    <w:rsid w:val="00992DA3"/>
    <w:rsid w:val="009A5831"/>
    <w:rsid w:val="009A7D8A"/>
    <w:rsid w:val="009B1C81"/>
    <w:rsid w:val="009B468A"/>
    <w:rsid w:val="009C6B35"/>
    <w:rsid w:val="009C7320"/>
    <w:rsid w:val="009C7716"/>
    <w:rsid w:val="009D11F3"/>
    <w:rsid w:val="009D1CD5"/>
    <w:rsid w:val="009D3EBB"/>
    <w:rsid w:val="009D487B"/>
    <w:rsid w:val="009D7324"/>
    <w:rsid w:val="009E3604"/>
    <w:rsid w:val="009E57EC"/>
    <w:rsid w:val="009E70E4"/>
    <w:rsid w:val="009F00F5"/>
    <w:rsid w:val="009F2C04"/>
    <w:rsid w:val="00A07863"/>
    <w:rsid w:val="00A07AEE"/>
    <w:rsid w:val="00A119DE"/>
    <w:rsid w:val="00A126F5"/>
    <w:rsid w:val="00A13E0F"/>
    <w:rsid w:val="00A26D30"/>
    <w:rsid w:val="00A3355C"/>
    <w:rsid w:val="00A341B4"/>
    <w:rsid w:val="00A362A7"/>
    <w:rsid w:val="00A43166"/>
    <w:rsid w:val="00A4517F"/>
    <w:rsid w:val="00A45660"/>
    <w:rsid w:val="00A47272"/>
    <w:rsid w:val="00A51F3B"/>
    <w:rsid w:val="00A56CD9"/>
    <w:rsid w:val="00A63385"/>
    <w:rsid w:val="00A64E25"/>
    <w:rsid w:val="00A65984"/>
    <w:rsid w:val="00A66971"/>
    <w:rsid w:val="00A737E9"/>
    <w:rsid w:val="00A8067C"/>
    <w:rsid w:val="00A81336"/>
    <w:rsid w:val="00A94A36"/>
    <w:rsid w:val="00AA18B6"/>
    <w:rsid w:val="00AA2C74"/>
    <w:rsid w:val="00AB088D"/>
    <w:rsid w:val="00AB5249"/>
    <w:rsid w:val="00AB65CB"/>
    <w:rsid w:val="00AB6CB0"/>
    <w:rsid w:val="00AC2AF8"/>
    <w:rsid w:val="00AC3519"/>
    <w:rsid w:val="00AD156D"/>
    <w:rsid w:val="00AD7CFD"/>
    <w:rsid w:val="00AE1230"/>
    <w:rsid w:val="00AF06DB"/>
    <w:rsid w:val="00AF26E6"/>
    <w:rsid w:val="00B07EB8"/>
    <w:rsid w:val="00B21FF2"/>
    <w:rsid w:val="00B27BE0"/>
    <w:rsid w:val="00B373BA"/>
    <w:rsid w:val="00B414E0"/>
    <w:rsid w:val="00B446DA"/>
    <w:rsid w:val="00B47900"/>
    <w:rsid w:val="00B5106D"/>
    <w:rsid w:val="00B5250B"/>
    <w:rsid w:val="00B60971"/>
    <w:rsid w:val="00B62DE2"/>
    <w:rsid w:val="00B63C87"/>
    <w:rsid w:val="00B64B6E"/>
    <w:rsid w:val="00B65F54"/>
    <w:rsid w:val="00B758C0"/>
    <w:rsid w:val="00B81D0F"/>
    <w:rsid w:val="00B81F55"/>
    <w:rsid w:val="00B843D5"/>
    <w:rsid w:val="00B8621D"/>
    <w:rsid w:val="00B90AE3"/>
    <w:rsid w:val="00B93DAE"/>
    <w:rsid w:val="00BA1614"/>
    <w:rsid w:val="00BA309D"/>
    <w:rsid w:val="00BA49B5"/>
    <w:rsid w:val="00BA5507"/>
    <w:rsid w:val="00BA64DA"/>
    <w:rsid w:val="00BB0E44"/>
    <w:rsid w:val="00BB1FD3"/>
    <w:rsid w:val="00BB3562"/>
    <w:rsid w:val="00BB449E"/>
    <w:rsid w:val="00BB5B88"/>
    <w:rsid w:val="00BC0C03"/>
    <w:rsid w:val="00BC2637"/>
    <w:rsid w:val="00BC3BD1"/>
    <w:rsid w:val="00BC3EA3"/>
    <w:rsid w:val="00BC6988"/>
    <w:rsid w:val="00BC6C38"/>
    <w:rsid w:val="00BD4DA4"/>
    <w:rsid w:val="00BD5CF6"/>
    <w:rsid w:val="00BE5691"/>
    <w:rsid w:val="00BF187E"/>
    <w:rsid w:val="00BF1D80"/>
    <w:rsid w:val="00BF5D59"/>
    <w:rsid w:val="00C02146"/>
    <w:rsid w:val="00C027C2"/>
    <w:rsid w:val="00C04FE4"/>
    <w:rsid w:val="00C1175C"/>
    <w:rsid w:val="00C1205C"/>
    <w:rsid w:val="00C14FA3"/>
    <w:rsid w:val="00C17426"/>
    <w:rsid w:val="00C179AC"/>
    <w:rsid w:val="00C41853"/>
    <w:rsid w:val="00C41F11"/>
    <w:rsid w:val="00C425CF"/>
    <w:rsid w:val="00C44EFF"/>
    <w:rsid w:val="00C46FF4"/>
    <w:rsid w:val="00C474CD"/>
    <w:rsid w:val="00C47A82"/>
    <w:rsid w:val="00C56C3B"/>
    <w:rsid w:val="00C57565"/>
    <w:rsid w:val="00C601D0"/>
    <w:rsid w:val="00C60BC6"/>
    <w:rsid w:val="00C63D2A"/>
    <w:rsid w:val="00C66722"/>
    <w:rsid w:val="00C67C5B"/>
    <w:rsid w:val="00C70DBC"/>
    <w:rsid w:val="00C767DA"/>
    <w:rsid w:val="00C77159"/>
    <w:rsid w:val="00C771A3"/>
    <w:rsid w:val="00C809A0"/>
    <w:rsid w:val="00C8266F"/>
    <w:rsid w:val="00C84330"/>
    <w:rsid w:val="00C86E38"/>
    <w:rsid w:val="00C9185C"/>
    <w:rsid w:val="00C92256"/>
    <w:rsid w:val="00C926E3"/>
    <w:rsid w:val="00CA0D19"/>
    <w:rsid w:val="00CA587F"/>
    <w:rsid w:val="00CA66D3"/>
    <w:rsid w:val="00CA7A56"/>
    <w:rsid w:val="00CB2C58"/>
    <w:rsid w:val="00CB3379"/>
    <w:rsid w:val="00CB44AE"/>
    <w:rsid w:val="00CC189D"/>
    <w:rsid w:val="00CC1A04"/>
    <w:rsid w:val="00CC7655"/>
    <w:rsid w:val="00CD1D9E"/>
    <w:rsid w:val="00CD519C"/>
    <w:rsid w:val="00CE1748"/>
    <w:rsid w:val="00CE2996"/>
    <w:rsid w:val="00CE334C"/>
    <w:rsid w:val="00CF2353"/>
    <w:rsid w:val="00CF4AA0"/>
    <w:rsid w:val="00D01218"/>
    <w:rsid w:val="00D0144C"/>
    <w:rsid w:val="00D04B61"/>
    <w:rsid w:val="00D04D18"/>
    <w:rsid w:val="00D05060"/>
    <w:rsid w:val="00D05FAF"/>
    <w:rsid w:val="00D10F37"/>
    <w:rsid w:val="00D11366"/>
    <w:rsid w:val="00D14282"/>
    <w:rsid w:val="00D14D16"/>
    <w:rsid w:val="00D15352"/>
    <w:rsid w:val="00D173CD"/>
    <w:rsid w:val="00D23E00"/>
    <w:rsid w:val="00D26CF3"/>
    <w:rsid w:val="00D318DE"/>
    <w:rsid w:val="00D36FD0"/>
    <w:rsid w:val="00D4438C"/>
    <w:rsid w:val="00D459FE"/>
    <w:rsid w:val="00D544D1"/>
    <w:rsid w:val="00D610DA"/>
    <w:rsid w:val="00D74D98"/>
    <w:rsid w:val="00D759B8"/>
    <w:rsid w:val="00D86D39"/>
    <w:rsid w:val="00D928EC"/>
    <w:rsid w:val="00D934FB"/>
    <w:rsid w:val="00D961CC"/>
    <w:rsid w:val="00D97031"/>
    <w:rsid w:val="00D9747E"/>
    <w:rsid w:val="00D97486"/>
    <w:rsid w:val="00D97DBB"/>
    <w:rsid w:val="00DA3482"/>
    <w:rsid w:val="00DA4264"/>
    <w:rsid w:val="00DA4E62"/>
    <w:rsid w:val="00DA5ABA"/>
    <w:rsid w:val="00DA7B46"/>
    <w:rsid w:val="00DB0E67"/>
    <w:rsid w:val="00DB2F9B"/>
    <w:rsid w:val="00DB5796"/>
    <w:rsid w:val="00DB61F4"/>
    <w:rsid w:val="00DC0C7F"/>
    <w:rsid w:val="00DC6256"/>
    <w:rsid w:val="00DC67B2"/>
    <w:rsid w:val="00DD7966"/>
    <w:rsid w:val="00DE67F7"/>
    <w:rsid w:val="00DF7B5A"/>
    <w:rsid w:val="00E02DE2"/>
    <w:rsid w:val="00E03F0F"/>
    <w:rsid w:val="00E06411"/>
    <w:rsid w:val="00E13741"/>
    <w:rsid w:val="00E155EE"/>
    <w:rsid w:val="00E24B23"/>
    <w:rsid w:val="00E34D26"/>
    <w:rsid w:val="00E43781"/>
    <w:rsid w:val="00E44972"/>
    <w:rsid w:val="00E57E36"/>
    <w:rsid w:val="00E57FCB"/>
    <w:rsid w:val="00E6014A"/>
    <w:rsid w:val="00E6058C"/>
    <w:rsid w:val="00E64841"/>
    <w:rsid w:val="00E66B0B"/>
    <w:rsid w:val="00E70B76"/>
    <w:rsid w:val="00E71058"/>
    <w:rsid w:val="00E7213C"/>
    <w:rsid w:val="00E7490F"/>
    <w:rsid w:val="00E751AF"/>
    <w:rsid w:val="00E77FE5"/>
    <w:rsid w:val="00E83289"/>
    <w:rsid w:val="00E917C2"/>
    <w:rsid w:val="00E91917"/>
    <w:rsid w:val="00E96432"/>
    <w:rsid w:val="00EA59F4"/>
    <w:rsid w:val="00EA6574"/>
    <w:rsid w:val="00EB0235"/>
    <w:rsid w:val="00EB5EF2"/>
    <w:rsid w:val="00EC3E9E"/>
    <w:rsid w:val="00EC6D04"/>
    <w:rsid w:val="00EC7BD3"/>
    <w:rsid w:val="00ED2320"/>
    <w:rsid w:val="00ED7D30"/>
    <w:rsid w:val="00EE51E2"/>
    <w:rsid w:val="00EF60B4"/>
    <w:rsid w:val="00F118AE"/>
    <w:rsid w:val="00F25E20"/>
    <w:rsid w:val="00F27CF1"/>
    <w:rsid w:val="00F32E3B"/>
    <w:rsid w:val="00F34AFA"/>
    <w:rsid w:val="00F351C8"/>
    <w:rsid w:val="00F375C8"/>
    <w:rsid w:val="00F37F7F"/>
    <w:rsid w:val="00F44E7A"/>
    <w:rsid w:val="00F47A63"/>
    <w:rsid w:val="00F51392"/>
    <w:rsid w:val="00F57B8A"/>
    <w:rsid w:val="00F60DB7"/>
    <w:rsid w:val="00F729CF"/>
    <w:rsid w:val="00F81C3E"/>
    <w:rsid w:val="00F905E5"/>
    <w:rsid w:val="00F90834"/>
    <w:rsid w:val="00F9221E"/>
    <w:rsid w:val="00F977B6"/>
    <w:rsid w:val="00FA1C1A"/>
    <w:rsid w:val="00FA30B8"/>
    <w:rsid w:val="00FA581C"/>
    <w:rsid w:val="00FA631C"/>
    <w:rsid w:val="00FA67B2"/>
    <w:rsid w:val="00FB026E"/>
    <w:rsid w:val="00FB1A54"/>
    <w:rsid w:val="00FB5C1A"/>
    <w:rsid w:val="00FC445E"/>
    <w:rsid w:val="00FC63AF"/>
    <w:rsid w:val="00FD3E42"/>
    <w:rsid w:val="00FD69C5"/>
    <w:rsid w:val="00FD7DBF"/>
    <w:rsid w:val="00FE2E3B"/>
    <w:rsid w:val="00FE5DEB"/>
    <w:rsid w:val="00FF04B6"/>
    <w:rsid w:val="00FF151E"/>
    <w:rsid w:val="00FF171B"/>
    <w:rsid w:val="00FF2EB5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D9817B"/>
  <w15:docId w15:val="{DBB3D697-A892-491F-96E1-56E5064E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4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46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0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E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55EE"/>
  </w:style>
  <w:style w:type="paragraph" w:styleId="Footer">
    <w:name w:val="footer"/>
    <w:basedOn w:val="Normal"/>
    <w:link w:val="FooterChar"/>
    <w:uiPriority w:val="99"/>
    <w:unhideWhenUsed/>
    <w:rsid w:val="00E155E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55EE"/>
  </w:style>
  <w:style w:type="character" w:styleId="Hyperlink">
    <w:name w:val="Hyperlink"/>
    <w:basedOn w:val="DefaultParagraphFont"/>
    <w:uiPriority w:val="99"/>
    <w:unhideWhenUsed/>
    <w:rsid w:val="00E155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6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7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A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30D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30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D5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3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0D54"/>
  </w:style>
  <w:style w:type="paragraph" w:customStyle="1" w:styleId="null">
    <w:name w:val="null"/>
    <w:basedOn w:val="Normal"/>
    <w:rsid w:val="000716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ll1">
    <w:name w:val="null1"/>
    <w:basedOn w:val="DefaultParagraphFont"/>
    <w:rsid w:val="000716BB"/>
  </w:style>
  <w:style w:type="paragraph" w:styleId="Revision">
    <w:name w:val="Revision"/>
    <w:hidden/>
    <w:uiPriority w:val="99"/>
    <w:semiHidden/>
    <w:rsid w:val="007C695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62DE2"/>
    <w:rPr>
      <w:color w:val="954F72" w:themeColor="followedHyperlink"/>
      <w:u w:val="single"/>
    </w:rPr>
  </w:style>
  <w:style w:type="paragraph" w:customStyle="1" w:styleId="contentsegment">
    <w:name w:val="content__segment"/>
    <w:basedOn w:val="Normal"/>
    <w:rsid w:val="00F3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person">
    <w:name w:val="xn-person"/>
    <w:basedOn w:val="DefaultParagraphFont"/>
    <w:rsid w:val="005746BC"/>
  </w:style>
  <w:style w:type="character" w:customStyle="1" w:styleId="xn-location">
    <w:name w:val="xn-location"/>
    <w:basedOn w:val="DefaultParagraphFont"/>
    <w:rsid w:val="0057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.combs@truliantfcu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Bilfelt</dc:creator>
  <cp:keywords/>
  <dc:description/>
  <cp:lastModifiedBy>Combs, Heath</cp:lastModifiedBy>
  <cp:revision>2</cp:revision>
  <cp:lastPrinted>2023-02-14T18:34:00Z</cp:lastPrinted>
  <dcterms:created xsi:type="dcterms:W3CDTF">2023-02-15T14:36:00Z</dcterms:created>
  <dcterms:modified xsi:type="dcterms:W3CDTF">2023-02-15T14:36:00Z</dcterms:modified>
</cp:coreProperties>
</file>