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C9" w:rsidRDefault="002633A2">
      <w:pPr>
        <w:tabs>
          <w:tab w:val="center" w:pos="7459"/>
        </w:tabs>
        <w:spacing w:after="0" w:line="259" w:lineRule="auto"/>
        <w:ind w:left="0" w:firstLine="0"/>
      </w:pPr>
      <w:r>
        <w:rPr>
          <w:rFonts w:ascii="Century Gothic" w:eastAsia="Century Gothic" w:hAnsi="Century Gothic" w:cs="Century Gothic"/>
          <w:b/>
          <w:sz w:val="32"/>
        </w:rPr>
        <w:t xml:space="preserve"> </w:t>
      </w:r>
      <w:r w:rsidR="009511B2">
        <w:rPr>
          <w:rFonts w:ascii="Century Gothic" w:eastAsia="Century Gothic" w:hAnsi="Century Gothic" w:cs="Century Gothic"/>
          <w:b/>
          <w:noProof/>
          <w:sz w:val="32"/>
        </w:rPr>
        <w:drawing>
          <wp:inline distT="0" distB="0" distL="0" distR="0">
            <wp:extent cx="2162175" cy="614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Tower_Logo_Horizont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556" cy="623108"/>
                    </a:xfrm>
                    <a:prstGeom prst="rect">
                      <a:avLst/>
                    </a:prstGeom>
                  </pic:spPr>
                </pic:pic>
              </a:graphicData>
            </a:graphic>
          </wp:inline>
        </w:drawing>
      </w:r>
      <w:r>
        <w:rPr>
          <w:rFonts w:ascii="Century Gothic" w:eastAsia="Century Gothic" w:hAnsi="Century Gothic" w:cs="Century Gothic"/>
          <w:b/>
          <w:sz w:val="32"/>
        </w:rPr>
        <w:t xml:space="preserve">  </w:t>
      </w:r>
      <w:r>
        <w:rPr>
          <w:rFonts w:ascii="Century Gothic" w:eastAsia="Century Gothic" w:hAnsi="Century Gothic" w:cs="Century Gothic"/>
          <w:b/>
          <w:sz w:val="32"/>
        </w:rPr>
        <w:tab/>
      </w:r>
    </w:p>
    <w:p w:rsidR="00A769C9" w:rsidRDefault="002633A2">
      <w:pPr>
        <w:spacing w:after="0" w:line="259" w:lineRule="auto"/>
        <w:ind w:left="2168" w:firstLine="0"/>
        <w:jc w:val="center"/>
      </w:pPr>
      <w:r>
        <w:rPr>
          <w:rFonts w:ascii="Century Gothic" w:eastAsia="Century Gothic" w:hAnsi="Century Gothic" w:cs="Century Gothic"/>
          <w:b/>
          <w:sz w:val="28"/>
        </w:rPr>
        <w:t xml:space="preserve"> </w:t>
      </w:r>
    </w:p>
    <w:p w:rsidR="009511B2" w:rsidRDefault="002633A2" w:rsidP="009511B2">
      <w:pPr>
        <w:spacing w:after="0" w:line="259" w:lineRule="auto"/>
        <w:ind w:left="0" w:firstLine="0"/>
      </w:pPr>
      <w:r>
        <w:rPr>
          <w:rFonts w:ascii="Century Gothic" w:eastAsia="Century Gothic" w:hAnsi="Century Gothic" w:cs="Century Gothic"/>
          <w:sz w:val="22"/>
        </w:rPr>
        <w:t xml:space="preserve"> </w:t>
      </w:r>
    </w:p>
    <w:p w:rsidR="00A769C9" w:rsidRDefault="00754A06" w:rsidP="009511B2">
      <w:pPr>
        <w:spacing w:after="0" w:line="259" w:lineRule="auto"/>
        <w:ind w:left="0" w:firstLine="0"/>
      </w:pPr>
      <w:r w:rsidRPr="009511B2">
        <w:rPr>
          <w:b/>
          <w:sz w:val="28"/>
          <w:szCs w:val="28"/>
        </w:rPr>
        <w:t>PRESS RELEASE</w:t>
      </w:r>
      <w:r w:rsidR="009511B2">
        <w:rPr>
          <w:b/>
          <w:sz w:val="22"/>
        </w:rPr>
        <w:t xml:space="preserve"> </w:t>
      </w:r>
      <w:r w:rsidR="009511B2">
        <w:rPr>
          <w:b/>
          <w:sz w:val="22"/>
        </w:rPr>
        <w:tab/>
      </w:r>
      <w:r w:rsidR="009511B2">
        <w:rPr>
          <w:b/>
          <w:sz w:val="22"/>
        </w:rPr>
        <w:tab/>
      </w:r>
      <w:r w:rsidR="009511B2">
        <w:rPr>
          <w:b/>
          <w:sz w:val="22"/>
        </w:rPr>
        <w:tab/>
      </w:r>
      <w:r w:rsidR="002633A2">
        <w:rPr>
          <w:b/>
          <w:sz w:val="22"/>
        </w:rPr>
        <w:t>FOR IMMEDIATE RELEASE</w:t>
      </w:r>
      <w:r w:rsidR="004F189E">
        <w:rPr>
          <w:b/>
          <w:sz w:val="22"/>
        </w:rPr>
        <w:t xml:space="preserve">: </w:t>
      </w:r>
      <w:r w:rsidR="000E37BE">
        <w:rPr>
          <w:b/>
          <w:sz w:val="22"/>
        </w:rPr>
        <w:t>July 6</w:t>
      </w:r>
      <w:r w:rsidR="00402C3D">
        <w:rPr>
          <w:b/>
          <w:sz w:val="22"/>
        </w:rPr>
        <w:t>, 2023</w:t>
      </w:r>
    </w:p>
    <w:p w:rsidR="00A769C9" w:rsidRDefault="002633A2">
      <w:pPr>
        <w:spacing w:after="0" w:line="259" w:lineRule="auto"/>
        <w:ind w:left="0" w:firstLine="0"/>
      </w:pPr>
      <w:r>
        <w:rPr>
          <w:sz w:val="22"/>
        </w:rPr>
        <w:t xml:space="preserve"> </w:t>
      </w:r>
    </w:p>
    <w:p w:rsidR="00A769C9" w:rsidRPr="00C36154" w:rsidRDefault="002633A2">
      <w:pPr>
        <w:spacing w:after="0" w:line="259" w:lineRule="auto"/>
        <w:ind w:left="-5"/>
        <w:rPr>
          <w:sz w:val="20"/>
          <w:szCs w:val="20"/>
        </w:rPr>
      </w:pPr>
      <w:r w:rsidRPr="00C36154">
        <w:rPr>
          <w:b/>
          <w:sz w:val="20"/>
          <w:szCs w:val="20"/>
        </w:rPr>
        <w:t xml:space="preserve">MEDIA CONTACT: </w:t>
      </w:r>
    </w:p>
    <w:p w:rsidR="00A769C9" w:rsidRPr="00C36154" w:rsidRDefault="00521440">
      <w:pPr>
        <w:spacing w:after="9" w:line="249" w:lineRule="auto"/>
        <w:ind w:left="-5"/>
        <w:rPr>
          <w:sz w:val="20"/>
          <w:szCs w:val="20"/>
        </w:rPr>
      </w:pPr>
      <w:r>
        <w:rPr>
          <w:sz w:val="20"/>
          <w:szCs w:val="20"/>
        </w:rPr>
        <w:t>Carla Keister</w:t>
      </w:r>
    </w:p>
    <w:p w:rsidR="00EF0D50" w:rsidRPr="00C36154" w:rsidRDefault="00EF0D50">
      <w:pPr>
        <w:spacing w:after="9" w:line="249" w:lineRule="auto"/>
        <w:ind w:left="-5"/>
        <w:rPr>
          <w:sz w:val="20"/>
          <w:szCs w:val="20"/>
        </w:rPr>
      </w:pPr>
      <w:r w:rsidRPr="00C36154">
        <w:rPr>
          <w:sz w:val="20"/>
          <w:szCs w:val="20"/>
        </w:rPr>
        <w:t xml:space="preserve">Senior </w:t>
      </w:r>
      <w:r w:rsidR="00C36154" w:rsidRPr="00C36154">
        <w:rPr>
          <w:sz w:val="20"/>
          <w:szCs w:val="20"/>
        </w:rPr>
        <w:t xml:space="preserve">Marketing Communications </w:t>
      </w:r>
      <w:r w:rsidRPr="00C36154">
        <w:rPr>
          <w:sz w:val="20"/>
          <w:szCs w:val="20"/>
        </w:rPr>
        <w:t>Writer</w:t>
      </w:r>
    </w:p>
    <w:p w:rsidR="00A769C9" w:rsidRPr="00C36154" w:rsidRDefault="00246786">
      <w:pPr>
        <w:spacing w:after="9" w:line="249" w:lineRule="auto"/>
        <w:ind w:left="-5"/>
        <w:rPr>
          <w:sz w:val="20"/>
          <w:szCs w:val="20"/>
        </w:rPr>
      </w:pPr>
      <w:r w:rsidRPr="00C36154">
        <w:rPr>
          <w:sz w:val="20"/>
          <w:szCs w:val="20"/>
        </w:rPr>
        <w:t>Tower Federal Credit Union</w:t>
      </w:r>
      <w:r w:rsidR="002633A2" w:rsidRPr="00C36154">
        <w:rPr>
          <w:sz w:val="20"/>
          <w:szCs w:val="20"/>
        </w:rPr>
        <w:t xml:space="preserve">  </w:t>
      </w:r>
    </w:p>
    <w:p w:rsidR="00246786" w:rsidRPr="00C36154" w:rsidRDefault="00246786" w:rsidP="00A872CE">
      <w:pPr>
        <w:spacing w:after="9" w:line="249" w:lineRule="auto"/>
        <w:ind w:left="0" w:right="6029" w:firstLine="0"/>
        <w:rPr>
          <w:sz w:val="20"/>
          <w:szCs w:val="20"/>
        </w:rPr>
      </w:pPr>
      <w:r w:rsidRPr="00C36154">
        <w:rPr>
          <w:sz w:val="20"/>
          <w:szCs w:val="20"/>
        </w:rPr>
        <w:t>301-497-7000, ext. 7144</w:t>
      </w:r>
    </w:p>
    <w:p w:rsidR="00A769C9" w:rsidRPr="00C36154" w:rsidRDefault="00521440">
      <w:pPr>
        <w:spacing w:after="9" w:line="249" w:lineRule="auto"/>
        <w:ind w:left="-5" w:right="6029"/>
        <w:rPr>
          <w:sz w:val="20"/>
          <w:szCs w:val="20"/>
        </w:rPr>
      </w:pPr>
      <w:r>
        <w:rPr>
          <w:sz w:val="20"/>
          <w:szCs w:val="20"/>
          <w:u w:color="000000"/>
        </w:rPr>
        <w:t>carla.keister</w:t>
      </w:r>
      <w:r w:rsidR="00246786" w:rsidRPr="00C36154">
        <w:rPr>
          <w:sz w:val="20"/>
          <w:szCs w:val="20"/>
          <w:u w:color="000000"/>
        </w:rPr>
        <w:t>@towerfcu.org</w:t>
      </w:r>
      <w:r w:rsidR="002633A2" w:rsidRPr="00C36154">
        <w:rPr>
          <w:sz w:val="20"/>
          <w:szCs w:val="20"/>
        </w:rPr>
        <w:t xml:space="preserve">  </w:t>
      </w:r>
    </w:p>
    <w:p w:rsidR="00674FCB" w:rsidRDefault="002633A2" w:rsidP="00674FCB">
      <w:pPr>
        <w:jc w:val="center"/>
        <w:textAlignment w:val="baseline"/>
        <w:rPr>
          <w:sz w:val="22"/>
        </w:rPr>
      </w:pPr>
      <w:r>
        <w:rPr>
          <w:sz w:val="22"/>
        </w:rPr>
        <w:t xml:space="preserve"> </w:t>
      </w:r>
    </w:p>
    <w:p w:rsidR="00656F81" w:rsidRDefault="00656F81" w:rsidP="00656F81">
      <w:pPr>
        <w:spacing w:after="98" w:line="259" w:lineRule="auto"/>
        <w:ind w:left="101" w:firstLine="0"/>
        <w:jc w:val="center"/>
        <w:rPr>
          <w:b/>
          <w:sz w:val="28"/>
        </w:rPr>
      </w:pPr>
      <w:r>
        <w:rPr>
          <w:b/>
          <w:sz w:val="28"/>
        </w:rPr>
        <w:t>Tower Federal Credit Union Earns Great Place to Work</w:t>
      </w:r>
      <w:r w:rsidRPr="00980972">
        <w:rPr>
          <w:b/>
          <w:sz w:val="28"/>
          <w:vertAlign w:val="superscript"/>
        </w:rPr>
        <w:t>®</w:t>
      </w:r>
      <w:r>
        <w:rPr>
          <w:b/>
          <w:sz w:val="28"/>
        </w:rPr>
        <w:t xml:space="preserve"> Certification—</w:t>
      </w:r>
      <w:r w:rsidR="00AF146C">
        <w:rPr>
          <w:b/>
          <w:sz w:val="28"/>
        </w:rPr>
        <w:t>Five</w:t>
      </w:r>
      <w:r w:rsidR="00521440">
        <w:rPr>
          <w:b/>
          <w:sz w:val="28"/>
        </w:rPr>
        <w:t xml:space="preserve"> </w:t>
      </w:r>
      <w:r>
        <w:rPr>
          <w:b/>
          <w:sz w:val="28"/>
        </w:rPr>
        <w:t>Years in a Row!</w:t>
      </w:r>
    </w:p>
    <w:p w:rsidR="00521440" w:rsidRDefault="00521440" w:rsidP="00656F81">
      <w:pPr>
        <w:spacing w:after="98" w:line="259" w:lineRule="auto"/>
        <w:ind w:left="101" w:firstLine="0"/>
        <w:jc w:val="center"/>
        <w:rPr>
          <w:b/>
          <w:sz w:val="28"/>
        </w:rPr>
      </w:pPr>
    </w:p>
    <w:p w:rsidR="00656F81" w:rsidRDefault="00656F81" w:rsidP="00521440">
      <w:pPr>
        <w:spacing w:after="96" w:line="259" w:lineRule="auto"/>
        <w:ind w:left="0" w:firstLine="0"/>
        <w:rPr>
          <w:i/>
          <w:sz w:val="20"/>
          <w:szCs w:val="20"/>
        </w:rPr>
      </w:pPr>
      <w:r w:rsidRPr="00011F7E">
        <w:rPr>
          <w:i/>
          <w:sz w:val="20"/>
          <w:szCs w:val="20"/>
        </w:rPr>
        <w:t xml:space="preserve">The credit union has received recognition </w:t>
      </w:r>
      <w:r w:rsidR="00AF146C">
        <w:rPr>
          <w:i/>
          <w:sz w:val="20"/>
          <w:szCs w:val="20"/>
        </w:rPr>
        <w:t xml:space="preserve">for the fifth </w:t>
      </w:r>
      <w:r w:rsidR="00521440">
        <w:rPr>
          <w:i/>
          <w:sz w:val="20"/>
          <w:szCs w:val="20"/>
        </w:rPr>
        <w:t xml:space="preserve">consecutive </w:t>
      </w:r>
      <w:r w:rsidR="00AF146C">
        <w:rPr>
          <w:i/>
          <w:sz w:val="20"/>
          <w:szCs w:val="20"/>
        </w:rPr>
        <w:t xml:space="preserve">year </w:t>
      </w:r>
      <w:r w:rsidRPr="00011F7E">
        <w:rPr>
          <w:i/>
          <w:sz w:val="20"/>
          <w:szCs w:val="20"/>
        </w:rPr>
        <w:t>by the independent analysts at Great Place to Work</w:t>
      </w:r>
      <w:r w:rsidRPr="00011F7E">
        <w:rPr>
          <w:i/>
          <w:sz w:val="20"/>
          <w:szCs w:val="20"/>
          <w:vertAlign w:val="superscript"/>
        </w:rPr>
        <w:t>®</w:t>
      </w:r>
      <w:r w:rsidRPr="00011F7E">
        <w:rPr>
          <w:i/>
          <w:sz w:val="20"/>
          <w:szCs w:val="20"/>
        </w:rPr>
        <w:t xml:space="preserve">, an industry leader on quantifying employee experience.   </w:t>
      </w:r>
    </w:p>
    <w:p w:rsidR="00E122C3" w:rsidRPr="00521440" w:rsidRDefault="00E122C3" w:rsidP="00521440">
      <w:pPr>
        <w:spacing w:after="96" w:line="259" w:lineRule="auto"/>
        <w:ind w:left="0" w:firstLine="0"/>
        <w:rPr>
          <w:i/>
          <w:sz w:val="20"/>
          <w:szCs w:val="20"/>
        </w:rPr>
      </w:pPr>
    </w:p>
    <w:p w:rsidR="00656F81" w:rsidRPr="00860B7A" w:rsidRDefault="00656F81" w:rsidP="00656F81">
      <w:pPr>
        <w:spacing w:after="0" w:line="312" w:lineRule="auto"/>
        <w:ind w:left="0" w:right="39" w:firstLine="720"/>
        <w:rPr>
          <w:color w:val="auto"/>
        </w:rPr>
      </w:pPr>
      <w:r>
        <w:t>[</w:t>
      </w:r>
      <w:r w:rsidRPr="00E122C3">
        <w:rPr>
          <w:b/>
          <w:szCs w:val="24"/>
        </w:rPr>
        <w:t xml:space="preserve">Laurel, Md. – </w:t>
      </w:r>
      <w:r w:rsidR="00E27BF3">
        <w:rPr>
          <w:b/>
          <w:szCs w:val="24"/>
        </w:rPr>
        <w:t>July 6</w:t>
      </w:r>
      <w:bookmarkStart w:id="0" w:name="_GoBack"/>
      <w:bookmarkEnd w:id="0"/>
      <w:r w:rsidR="00E857F2" w:rsidRPr="00E122C3">
        <w:rPr>
          <w:b/>
          <w:szCs w:val="24"/>
        </w:rPr>
        <w:t>,</w:t>
      </w:r>
      <w:r w:rsidRPr="00E122C3">
        <w:rPr>
          <w:b/>
          <w:szCs w:val="24"/>
        </w:rPr>
        <w:t xml:space="preserve"> 2023</w:t>
      </w:r>
      <w:r>
        <w:t>]</w:t>
      </w:r>
      <w:r w:rsidR="00E857F2">
        <w:t xml:space="preserve"> </w:t>
      </w:r>
      <w:r w:rsidR="00E857F2" w:rsidRPr="00860B7A">
        <w:rPr>
          <w:color w:val="auto"/>
        </w:rPr>
        <w:t>For the fifth</w:t>
      </w:r>
      <w:r w:rsidRPr="00860B7A">
        <w:rPr>
          <w:color w:val="auto"/>
        </w:rPr>
        <w:t xml:space="preserve"> consecutive year, </w:t>
      </w:r>
      <w:hyperlink r:id="rId8" w:history="1">
        <w:r w:rsidRPr="00860B7A">
          <w:rPr>
            <w:rStyle w:val="Hyperlink"/>
            <w:color w:val="auto"/>
          </w:rPr>
          <w:t>Tower Federal Credit Union</w:t>
        </w:r>
      </w:hyperlink>
      <w:r w:rsidRPr="00860B7A">
        <w:rPr>
          <w:color w:val="auto"/>
        </w:rPr>
        <w:t xml:space="preserve"> has been named a “great workplace” by the independent analysts at Great Place to Work</w:t>
      </w:r>
      <w:r w:rsidRPr="00860B7A">
        <w:rPr>
          <w:color w:val="auto"/>
          <w:vertAlign w:val="superscript"/>
        </w:rPr>
        <w:t>®</w:t>
      </w:r>
      <w:r w:rsidRPr="00860B7A">
        <w:rPr>
          <w:color w:val="auto"/>
        </w:rPr>
        <w:t xml:space="preserve"> (GPTW). Richard Stafford, Tower’s President and CEO, credits Tower’s outstanding team of employees and the credit union’s member-focused, people-oriented culture as the reason for the recognition.  </w:t>
      </w:r>
    </w:p>
    <w:p w:rsidR="009E35F3" w:rsidRPr="00860B7A" w:rsidRDefault="009E35F3" w:rsidP="00656F81">
      <w:pPr>
        <w:spacing w:after="0" w:line="312" w:lineRule="auto"/>
        <w:ind w:left="0" w:right="39" w:firstLine="720"/>
        <w:rPr>
          <w:color w:val="auto"/>
        </w:rPr>
      </w:pPr>
    </w:p>
    <w:p w:rsidR="00E857F2" w:rsidRPr="00860B7A" w:rsidRDefault="00E857F2" w:rsidP="00656F81">
      <w:pPr>
        <w:spacing w:after="0" w:line="312" w:lineRule="auto"/>
        <w:ind w:left="0" w:right="39" w:firstLine="720"/>
        <w:rPr>
          <w:color w:val="auto"/>
        </w:rPr>
      </w:pPr>
      <w:r w:rsidRPr="00860B7A">
        <w:rPr>
          <w:color w:val="auto"/>
        </w:rPr>
        <w:t xml:space="preserve">“Every year I am happier than the year before when this survey tells the world what I </w:t>
      </w:r>
      <w:r w:rsidR="009E35F3" w:rsidRPr="00860B7A">
        <w:rPr>
          <w:color w:val="auto"/>
        </w:rPr>
        <w:t xml:space="preserve">already believe is true: </w:t>
      </w:r>
      <w:r w:rsidRPr="00860B7A">
        <w:rPr>
          <w:color w:val="auto"/>
        </w:rPr>
        <w:t>Tower is a great place to work,”</w:t>
      </w:r>
      <w:r w:rsidR="00B94111" w:rsidRPr="00860B7A">
        <w:rPr>
          <w:color w:val="auto"/>
        </w:rPr>
        <w:t xml:space="preserve"> Stafford says</w:t>
      </w:r>
      <w:r w:rsidRPr="00860B7A">
        <w:rPr>
          <w:color w:val="auto"/>
        </w:rPr>
        <w:t>. “We have withstood a lot over the last few years and are here in 2023 stronger than ever. This certification is a testament to our strong culture of appreciation for each other and ou</w:t>
      </w:r>
      <w:r w:rsidR="00F051C0">
        <w:rPr>
          <w:color w:val="auto"/>
        </w:rPr>
        <w:t xml:space="preserve">r commitment to high service for </w:t>
      </w:r>
      <w:r w:rsidRPr="00860B7A">
        <w:rPr>
          <w:color w:val="auto"/>
        </w:rPr>
        <w:t>our members.”</w:t>
      </w:r>
    </w:p>
    <w:p w:rsidR="00656F81" w:rsidRPr="00860B7A" w:rsidRDefault="00656F81" w:rsidP="00E857F2">
      <w:pPr>
        <w:shd w:val="clear" w:color="auto" w:fill="FFFFFF"/>
        <w:spacing w:after="0" w:line="312" w:lineRule="auto"/>
        <w:ind w:left="0" w:firstLine="0"/>
        <w:rPr>
          <w:color w:val="auto"/>
        </w:rPr>
      </w:pPr>
    </w:p>
    <w:p w:rsidR="00656F81" w:rsidRPr="00860B7A" w:rsidRDefault="00656F81" w:rsidP="00656F81">
      <w:pPr>
        <w:spacing w:after="0" w:line="312" w:lineRule="auto"/>
        <w:ind w:left="-5" w:right="39" w:firstLine="725"/>
        <w:rPr>
          <w:color w:val="auto"/>
        </w:rPr>
      </w:pPr>
      <w:r w:rsidRPr="00860B7A">
        <w:rPr>
          <w:color w:val="auto"/>
        </w:rPr>
        <w:t xml:space="preserve">Tower earned the GPTW credential based on extensive ratings provided by employees who participated in anonymous voluntary surveys. Employees cited a welcoming work atmosphere, flexible schedules, the ability to take time off when needed, high retention rates, excellent benefits and opportunities for advancement amongst the top reasons why Tower is a great place to work. </w:t>
      </w:r>
    </w:p>
    <w:p w:rsidR="00E122C3" w:rsidRPr="00860B7A" w:rsidRDefault="00E122C3" w:rsidP="00656F81">
      <w:pPr>
        <w:spacing w:after="0" w:line="312" w:lineRule="auto"/>
        <w:ind w:left="-5" w:right="39" w:firstLine="725"/>
        <w:rPr>
          <w:color w:val="auto"/>
        </w:rPr>
      </w:pPr>
    </w:p>
    <w:p w:rsidR="00DB0B0F" w:rsidRPr="00860B7A" w:rsidRDefault="00DB0B0F" w:rsidP="00B94111">
      <w:pPr>
        <w:ind w:firstLine="710"/>
        <w:rPr>
          <w:rFonts w:eastAsia="Calibri" w:cs="Times New Roman"/>
          <w:color w:val="auto"/>
          <w:spacing w:val="-1"/>
          <w:szCs w:val="24"/>
        </w:rPr>
      </w:pPr>
      <w:r w:rsidRPr="00860B7A">
        <w:rPr>
          <w:color w:val="auto"/>
        </w:rPr>
        <w:lastRenderedPageBreak/>
        <w:t xml:space="preserve">Consistently, the highest GPTW survey scores center around Tower’s philanthropic work environment and commitment to giving back to the local community, most notably through the </w:t>
      </w:r>
      <w:hyperlink r:id="rId9" w:history="1">
        <w:proofErr w:type="spellStart"/>
        <w:r w:rsidRPr="00860B7A">
          <w:rPr>
            <w:rStyle w:val="Hyperlink"/>
            <w:color w:val="auto"/>
          </w:rPr>
          <w:t>TowerCares</w:t>
        </w:r>
        <w:proofErr w:type="spellEnd"/>
        <w:r w:rsidRPr="00860B7A">
          <w:rPr>
            <w:rStyle w:val="Hyperlink"/>
            <w:color w:val="auto"/>
          </w:rPr>
          <w:t xml:space="preserve"> Foundation</w:t>
        </w:r>
      </w:hyperlink>
      <w:r w:rsidRPr="00860B7A">
        <w:rPr>
          <w:color w:val="auto"/>
        </w:rPr>
        <w:t xml:space="preserve">, which helps local military heroes, Veterans and children in need. </w:t>
      </w:r>
    </w:p>
    <w:p w:rsidR="00DB0B0F" w:rsidRPr="00860B7A" w:rsidRDefault="00DB0B0F" w:rsidP="00DB0B0F">
      <w:pPr>
        <w:spacing w:after="0" w:line="312" w:lineRule="auto"/>
        <w:ind w:left="-5" w:right="39" w:firstLine="725"/>
        <w:rPr>
          <w:noProof/>
          <w:color w:val="auto"/>
        </w:rPr>
      </w:pPr>
    </w:p>
    <w:p w:rsidR="00DB0B0F" w:rsidRPr="00860B7A" w:rsidRDefault="00DB0B0F" w:rsidP="00DB0B0F">
      <w:pPr>
        <w:spacing w:after="0" w:line="312" w:lineRule="auto"/>
        <w:ind w:left="-5" w:right="39" w:firstLine="725"/>
        <w:rPr>
          <w:color w:val="auto"/>
        </w:rPr>
      </w:pPr>
      <w:r w:rsidRPr="00860B7A">
        <w:rPr>
          <w:noProof/>
          <w:color w:val="auto"/>
        </w:rPr>
        <w:t>“Giving back to the communities we serve is and always has been important to Tower, and our employees are ardent supporters of TowerCares and its mission to support those who have sacrificed to protect our freedoms,</w:t>
      </w:r>
      <w:r w:rsidR="00E122C3" w:rsidRPr="00860B7A">
        <w:rPr>
          <w:noProof/>
          <w:color w:val="auto"/>
        </w:rPr>
        <w:t xml:space="preserve">” Stafford </w:t>
      </w:r>
      <w:r w:rsidR="00F051C0">
        <w:rPr>
          <w:noProof/>
          <w:color w:val="auto"/>
        </w:rPr>
        <w:t>says</w:t>
      </w:r>
      <w:r w:rsidR="00E122C3" w:rsidRPr="00860B7A">
        <w:rPr>
          <w:noProof/>
          <w:color w:val="auto"/>
        </w:rPr>
        <w:t>.</w:t>
      </w:r>
      <w:r w:rsidRPr="00860B7A">
        <w:rPr>
          <w:color w:val="auto"/>
        </w:rPr>
        <w:t xml:space="preserve"> </w:t>
      </w:r>
    </w:p>
    <w:p w:rsidR="00AF2227" w:rsidRPr="00860B7A" w:rsidRDefault="00AF2227" w:rsidP="00DB0B0F">
      <w:pPr>
        <w:spacing w:after="0" w:line="312" w:lineRule="auto"/>
        <w:ind w:left="-5" w:right="39" w:firstLine="725"/>
        <w:rPr>
          <w:color w:val="auto"/>
        </w:rPr>
      </w:pPr>
    </w:p>
    <w:p w:rsidR="00AF2227" w:rsidRPr="00860B7A" w:rsidRDefault="00AF2227" w:rsidP="00AF2227">
      <w:pPr>
        <w:ind w:firstLine="350"/>
        <w:rPr>
          <w:color w:val="auto"/>
        </w:rPr>
      </w:pPr>
      <w:r w:rsidRPr="00860B7A">
        <w:rPr>
          <w:color w:val="auto"/>
        </w:rPr>
        <w:t xml:space="preserve">Tower received high marks on the surveys in several other areas as well: </w:t>
      </w:r>
    </w:p>
    <w:p w:rsidR="00AF2227" w:rsidRPr="00860B7A" w:rsidRDefault="00AF2227" w:rsidP="00AF2227">
      <w:pPr>
        <w:tabs>
          <w:tab w:val="left" w:pos="1800"/>
        </w:tabs>
        <w:ind w:left="1440"/>
        <w:rPr>
          <w:rFonts w:eastAsia="Calibri" w:cs="Times New Roman"/>
          <w:color w:val="auto"/>
          <w:spacing w:val="-1"/>
          <w:sz w:val="12"/>
          <w:szCs w:val="12"/>
        </w:rPr>
      </w:pPr>
      <w:r w:rsidRPr="00860B7A">
        <w:rPr>
          <w:rFonts w:eastAsia="Calibri" w:cs="Times New Roman"/>
          <w:color w:val="auto"/>
          <w:spacing w:val="-1"/>
          <w:sz w:val="12"/>
          <w:szCs w:val="12"/>
        </w:rPr>
        <w:tab/>
        <w:t xml:space="preserve"> </w:t>
      </w:r>
    </w:p>
    <w:p w:rsidR="00AF2227" w:rsidRPr="00860B7A" w:rsidRDefault="00AF2227" w:rsidP="00AF2227">
      <w:pPr>
        <w:pStyle w:val="ListParagraph"/>
        <w:numPr>
          <w:ilvl w:val="0"/>
          <w:numId w:val="6"/>
        </w:numPr>
        <w:rPr>
          <w:rFonts w:ascii="Arial" w:eastAsia="Calibri" w:hAnsi="Arial" w:cs="Times New Roman"/>
          <w:spacing w:val="-1"/>
          <w:szCs w:val="24"/>
        </w:rPr>
      </w:pPr>
      <w:r w:rsidRPr="00860B7A">
        <w:rPr>
          <w:rFonts w:ascii="Arial" w:eastAsia="Calibri" w:hAnsi="Arial" w:cs="Times New Roman"/>
          <w:b/>
          <w:spacing w:val="-1"/>
          <w:szCs w:val="24"/>
        </w:rPr>
        <w:t xml:space="preserve">80% of employees consider Tower a great place to work. </w:t>
      </w:r>
      <w:r w:rsidRPr="00860B7A">
        <w:rPr>
          <w:rFonts w:ascii="Arial" w:eastAsia="Calibri" w:hAnsi="Arial" w:cs="Times New Roman"/>
          <w:spacing w:val="-1"/>
          <w:szCs w:val="24"/>
        </w:rPr>
        <w:t xml:space="preserve">This is compared to an average score of 57% at a typical company. </w:t>
      </w:r>
    </w:p>
    <w:p w:rsidR="00AF2227" w:rsidRPr="00860B7A" w:rsidRDefault="00AF2227" w:rsidP="00AF2227">
      <w:pPr>
        <w:pStyle w:val="ListParagraph"/>
        <w:rPr>
          <w:rFonts w:ascii="Arial" w:eastAsia="Calibri" w:hAnsi="Arial" w:cs="Times New Roman"/>
          <w:b/>
          <w:spacing w:val="-1"/>
          <w:szCs w:val="24"/>
        </w:rPr>
      </w:pPr>
    </w:p>
    <w:p w:rsidR="00AF2227" w:rsidRPr="00860B7A" w:rsidRDefault="00AF2227" w:rsidP="00AF2227">
      <w:pPr>
        <w:pStyle w:val="ListParagraph"/>
        <w:numPr>
          <w:ilvl w:val="0"/>
          <w:numId w:val="6"/>
        </w:numPr>
        <w:rPr>
          <w:rFonts w:ascii="Arial" w:eastAsia="Calibri" w:hAnsi="Arial" w:cs="Times New Roman"/>
          <w:b/>
          <w:spacing w:val="-1"/>
          <w:szCs w:val="24"/>
        </w:rPr>
      </w:pPr>
      <w:r w:rsidRPr="00860B7A">
        <w:rPr>
          <w:rFonts w:ascii="Arial" w:eastAsia="Calibri" w:hAnsi="Arial" w:cs="Times New Roman"/>
          <w:b/>
          <w:spacing w:val="-1"/>
          <w:szCs w:val="24"/>
        </w:rPr>
        <w:t xml:space="preserve">90% of employees feel welcome </w:t>
      </w:r>
      <w:r w:rsidRPr="00860B7A">
        <w:rPr>
          <w:rFonts w:ascii="Arial" w:eastAsia="Calibri" w:hAnsi="Arial" w:cs="Times New Roman"/>
          <w:spacing w:val="-1"/>
          <w:szCs w:val="24"/>
        </w:rPr>
        <w:t>after joining Tower.</w:t>
      </w:r>
    </w:p>
    <w:p w:rsidR="00AF2227" w:rsidRPr="00860B7A" w:rsidRDefault="00AF2227" w:rsidP="00AF2227">
      <w:pPr>
        <w:pStyle w:val="ListParagraph"/>
        <w:rPr>
          <w:rFonts w:ascii="Arial" w:eastAsia="Calibri" w:hAnsi="Arial" w:cs="Times New Roman"/>
          <w:b/>
          <w:spacing w:val="-1"/>
          <w:sz w:val="24"/>
          <w:szCs w:val="24"/>
        </w:rPr>
      </w:pPr>
    </w:p>
    <w:p w:rsidR="00AF2227" w:rsidRPr="00860B7A" w:rsidRDefault="00AF2227" w:rsidP="00AF2227">
      <w:pPr>
        <w:pStyle w:val="ListParagraph"/>
        <w:numPr>
          <w:ilvl w:val="0"/>
          <w:numId w:val="6"/>
        </w:numPr>
        <w:rPr>
          <w:rFonts w:ascii="Arial" w:eastAsia="Calibri" w:hAnsi="Arial" w:cs="Times New Roman"/>
          <w:b/>
          <w:spacing w:val="-1"/>
          <w:szCs w:val="24"/>
        </w:rPr>
      </w:pPr>
      <w:r w:rsidRPr="00860B7A">
        <w:rPr>
          <w:rFonts w:ascii="Arial" w:eastAsia="Calibri" w:hAnsi="Arial" w:cs="Times New Roman"/>
          <w:b/>
          <w:spacing w:val="-1"/>
          <w:sz w:val="24"/>
          <w:szCs w:val="24"/>
        </w:rPr>
        <w:t>89% of employees feel good</w:t>
      </w:r>
      <w:r w:rsidRPr="00860B7A">
        <w:rPr>
          <w:rFonts w:ascii="Arial" w:eastAsia="Calibri" w:hAnsi="Arial" w:cs="Times New Roman"/>
          <w:spacing w:val="-1"/>
          <w:sz w:val="24"/>
          <w:szCs w:val="24"/>
        </w:rPr>
        <w:t xml:space="preserve"> about the ways Tower contributes to the community.</w:t>
      </w:r>
    </w:p>
    <w:p w:rsidR="00AF2227" w:rsidRPr="00860B7A" w:rsidRDefault="00AF2227" w:rsidP="00AF2227">
      <w:pPr>
        <w:pStyle w:val="ListParagraph"/>
        <w:rPr>
          <w:rFonts w:ascii="Arial" w:eastAsia="Calibri" w:hAnsi="Arial" w:cs="Times New Roman"/>
          <w:b/>
          <w:spacing w:val="-1"/>
          <w:sz w:val="24"/>
          <w:szCs w:val="24"/>
        </w:rPr>
      </w:pPr>
    </w:p>
    <w:p w:rsidR="00AF2227" w:rsidRPr="00860B7A" w:rsidRDefault="00AF2227" w:rsidP="00AF2227">
      <w:pPr>
        <w:pStyle w:val="ListParagraph"/>
        <w:numPr>
          <w:ilvl w:val="0"/>
          <w:numId w:val="6"/>
        </w:numPr>
        <w:rPr>
          <w:rFonts w:ascii="Arial" w:eastAsia="Calibri" w:hAnsi="Arial" w:cs="Times New Roman"/>
          <w:b/>
          <w:spacing w:val="-1"/>
          <w:szCs w:val="24"/>
        </w:rPr>
      </w:pPr>
      <w:r w:rsidRPr="00860B7A">
        <w:rPr>
          <w:rFonts w:ascii="Arial" w:eastAsia="Calibri" w:hAnsi="Arial" w:cs="Times New Roman"/>
          <w:b/>
          <w:spacing w:val="-1"/>
          <w:sz w:val="24"/>
          <w:szCs w:val="24"/>
        </w:rPr>
        <w:t>87% of employees agree that Tower’s facilities contribute</w:t>
      </w:r>
      <w:r w:rsidRPr="00860B7A">
        <w:rPr>
          <w:rFonts w:ascii="Arial" w:eastAsia="Calibri" w:hAnsi="Arial" w:cs="Times New Roman"/>
          <w:spacing w:val="-1"/>
          <w:sz w:val="24"/>
          <w:szCs w:val="24"/>
        </w:rPr>
        <w:t xml:space="preserve"> to a good working environment.</w:t>
      </w:r>
    </w:p>
    <w:p w:rsidR="00AF2227" w:rsidRPr="00860B7A" w:rsidRDefault="00AF2227" w:rsidP="00AF2227">
      <w:pPr>
        <w:pStyle w:val="ListParagraph"/>
        <w:rPr>
          <w:rFonts w:ascii="Arial" w:eastAsia="Calibri" w:hAnsi="Arial" w:cs="Times New Roman"/>
          <w:b/>
          <w:spacing w:val="-1"/>
          <w:szCs w:val="24"/>
        </w:rPr>
      </w:pPr>
    </w:p>
    <w:p w:rsidR="00AF2227" w:rsidRPr="00860B7A" w:rsidRDefault="00AF2227" w:rsidP="00AF2227">
      <w:pPr>
        <w:pStyle w:val="ListParagraph"/>
        <w:numPr>
          <w:ilvl w:val="0"/>
          <w:numId w:val="6"/>
        </w:numPr>
        <w:rPr>
          <w:rFonts w:ascii="Arial" w:eastAsia="Calibri" w:hAnsi="Arial" w:cs="Times New Roman"/>
          <w:b/>
          <w:spacing w:val="-1"/>
          <w:szCs w:val="24"/>
        </w:rPr>
      </w:pPr>
      <w:r w:rsidRPr="00860B7A">
        <w:rPr>
          <w:rFonts w:ascii="Arial" w:eastAsia="Calibri" w:hAnsi="Arial" w:cs="Times New Roman"/>
          <w:b/>
          <w:spacing w:val="-1"/>
          <w:sz w:val="24"/>
          <w:szCs w:val="24"/>
        </w:rPr>
        <w:t>85% of employees are proud</w:t>
      </w:r>
      <w:r w:rsidRPr="00860B7A">
        <w:rPr>
          <w:rFonts w:ascii="Arial" w:eastAsia="Calibri" w:hAnsi="Arial" w:cs="Times New Roman"/>
          <w:spacing w:val="-1"/>
          <w:sz w:val="24"/>
          <w:szCs w:val="24"/>
        </w:rPr>
        <w:t xml:space="preserve"> to tell others they work at Tower.</w:t>
      </w:r>
    </w:p>
    <w:p w:rsidR="00AF2227" w:rsidRPr="00860B7A" w:rsidRDefault="00AF2227" w:rsidP="00DB0B0F">
      <w:pPr>
        <w:spacing w:after="0" w:line="312" w:lineRule="auto"/>
        <w:ind w:left="-5" w:right="39" w:firstLine="725"/>
        <w:rPr>
          <w:color w:val="auto"/>
        </w:rPr>
      </w:pPr>
    </w:p>
    <w:p w:rsidR="00DB0B0F" w:rsidRPr="00860B7A" w:rsidRDefault="00DB0B0F" w:rsidP="00656F81">
      <w:pPr>
        <w:spacing w:after="0" w:line="312" w:lineRule="auto"/>
        <w:ind w:left="-5" w:right="39" w:firstLine="725"/>
        <w:rPr>
          <w:color w:val="auto"/>
        </w:rPr>
      </w:pPr>
    </w:p>
    <w:p w:rsidR="00E857F2" w:rsidRPr="00860B7A" w:rsidRDefault="009E35F3" w:rsidP="00E122C3">
      <w:pPr>
        <w:ind w:firstLine="710"/>
        <w:rPr>
          <w:color w:val="auto"/>
          <w:szCs w:val="28"/>
        </w:rPr>
      </w:pPr>
      <w:r w:rsidRPr="00860B7A">
        <w:rPr>
          <w:color w:val="auto"/>
          <w:szCs w:val="28"/>
        </w:rPr>
        <w:t>“</w:t>
      </w:r>
      <w:r w:rsidR="00E857F2" w:rsidRPr="00860B7A">
        <w:rPr>
          <w:color w:val="auto"/>
          <w:szCs w:val="28"/>
        </w:rPr>
        <w:t>Great Place to Work is the global authority on high-trust, high-</w:t>
      </w:r>
      <w:r w:rsidRPr="00860B7A">
        <w:rPr>
          <w:color w:val="auto"/>
          <w:szCs w:val="28"/>
        </w:rPr>
        <w:t>performance workplace cultures,</w:t>
      </w:r>
      <w:r w:rsidR="00F051C0">
        <w:rPr>
          <w:color w:val="auto"/>
          <w:szCs w:val="28"/>
        </w:rPr>
        <w:t>” Stafford adds</w:t>
      </w:r>
      <w:r w:rsidRPr="00860B7A">
        <w:rPr>
          <w:color w:val="auto"/>
          <w:szCs w:val="28"/>
        </w:rPr>
        <w:t>. “</w:t>
      </w:r>
      <w:r w:rsidR="00E857F2" w:rsidRPr="00860B7A">
        <w:rPr>
          <w:color w:val="auto"/>
          <w:szCs w:val="28"/>
        </w:rPr>
        <w:t>The company provides the benchmarks, framework a</w:t>
      </w:r>
      <w:r w:rsidRPr="00860B7A">
        <w:rPr>
          <w:color w:val="auto"/>
          <w:szCs w:val="28"/>
        </w:rPr>
        <w:t xml:space="preserve">nd expertise to create, sustain, </w:t>
      </w:r>
      <w:r w:rsidR="00E857F2" w:rsidRPr="00860B7A">
        <w:rPr>
          <w:color w:val="auto"/>
          <w:szCs w:val="28"/>
        </w:rPr>
        <w:t xml:space="preserve">and recognize outstanding work cultures. </w:t>
      </w:r>
      <w:r w:rsidRPr="00860B7A">
        <w:rPr>
          <w:color w:val="auto"/>
          <w:szCs w:val="28"/>
        </w:rPr>
        <w:t xml:space="preserve">No company big or small can claim perfection but we listen, adjust where we can, and always strive to make Tower the place our employees and members choose to be. I couldn’t be prouder to lead such an amazing team of people.” </w:t>
      </w:r>
    </w:p>
    <w:p w:rsidR="00656F81" w:rsidRPr="00860B7A" w:rsidRDefault="00656F81" w:rsidP="00860B7A">
      <w:pPr>
        <w:spacing w:after="0" w:line="312" w:lineRule="auto"/>
        <w:ind w:left="0" w:right="39" w:firstLine="0"/>
        <w:rPr>
          <w:color w:val="auto"/>
        </w:rPr>
      </w:pPr>
    </w:p>
    <w:p w:rsidR="00F60859" w:rsidRDefault="00706EE9" w:rsidP="00F60859">
      <w:pPr>
        <w:spacing w:after="0" w:line="312" w:lineRule="auto"/>
        <w:ind w:left="-5" w:right="39" w:firstLine="725"/>
        <w:rPr>
          <w:color w:val="auto"/>
        </w:rPr>
      </w:pPr>
      <w:r w:rsidRPr="00860B7A">
        <w:rPr>
          <w:color w:val="auto"/>
        </w:rPr>
        <w:t>Tower offers competitive compensation and a comprehensive</w:t>
      </w:r>
      <w:r w:rsidR="00E857F2" w:rsidRPr="00860B7A">
        <w:rPr>
          <w:color w:val="auto"/>
        </w:rPr>
        <w:t xml:space="preserve"> benefits package, </w:t>
      </w:r>
      <w:r w:rsidR="00F60859">
        <w:rPr>
          <w:color w:val="auto"/>
        </w:rPr>
        <w:t xml:space="preserve">including $0 out-of-pocket premium cost for </w:t>
      </w:r>
      <w:r w:rsidRPr="00860B7A">
        <w:rPr>
          <w:color w:val="auto"/>
        </w:rPr>
        <w:t xml:space="preserve">Employee Only PPO and exceptionally low premiums for all other PPO coverage levels. </w:t>
      </w:r>
      <w:r w:rsidR="00E857F2" w:rsidRPr="00860B7A">
        <w:rPr>
          <w:color w:val="auto"/>
        </w:rPr>
        <w:t>The credit union will host an in-person Job Fair at their</w:t>
      </w:r>
      <w:r w:rsidR="00F60859">
        <w:rPr>
          <w:color w:val="auto"/>
        </w:rPr>
        <w:t xml:space="preserve"> </w:t>
      </w:r>
      <w:hyperlink r:id="rId10" w:history="1">
        <w:r w:rsidR="00F60859" w:rsidRPr="00F60859">
          <w:rPr>
            <w:rStyle w:val="Hyperlink"/>
          </w:rPr>
          <w:t>Laurel, Md. headquarters</w:t>
        </w:r>
      </w:hyperlink>
      <w:r w:rsidR="00F60859">
        <w:rPr>
          <w:color w:val="auto"/>
        </w:rPr>
        <w:t xml:space="preserve"> </w:t>
      </w:r>
      <w:r w:rsidR="00E857F2" w:rsidRPr="00860B7A">
        <w:rPr>
          <w:color w:val="auto"/>
        </w:rPr>
        <w:t xml:space="preserve">on July </w:t>
      </w:r>
      <w:r w:rsidR="00815377" w:rsidRPr="00860B7A">
        <w:rPr>
          <w:color w:val="auto"/>
        </w:rPr>
        <w:t xml:space="preserve">19, 2023, from 2:00 pm to 7:00 pm. </w:t>
      </w:r>
      <w:r w:rsidR="00F60859">
        <w:rPr>
          <w:color w:val="auto"/>
        </w:rPr>
        <w:t xml:space="preserve">To view current employment opportunities, visit </w:t>
      </w:r>
      <w:hyperlink r:id="rId11" w:history="1">
        <w:r w:rsidR="00F60859" w:rsidRPr="00860B7A">
          <w:rPr>
            <w:rStyle w:val="Hyperlink"/>
            <w:color w:val="auto"/>
          </w:rPr>
          <w:t>Careers</w:t>
        </w:r>
      </w:hyperlink>
      <w:r w:rsidR="00F60859">
        <w:rPr>
          <w:color w:val="auto"/>
        </w:rPr>
        <w:t xml:space="preserve"> at towerfcu.org. </w:t>
      </w:r>
    </w:p>
    <w:p w:rsidR="00F60859" w:rsidRDefault="00637207" w:rsidP="00637207">
      <w:pPr>
        <w:spacing w:after="0" w:line="312" w:lineRule="auto"/>
        <w:ind w:left="0" w:right="39" w:firstLine="0"/>
        <w:rPr>
          <w:color w:val="auto"/>
        </w:rPr>
      </w:pPr>
      <w:r>
        <w:rPr>
          <w:noProof/>
          <w:color w:val="auto"/>
        </w:rPr>
        <w:lastRenderedPageBreak/>
        <w:drawing>
          <wp:inline distT="0" distB="0" distL="0" distR="0">
            <wp:extent cx="5988685" cy="31356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_GPT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8685" cy="3135630"/>
                    </a:xfrm>
                    <a:prstGeom prst="rect">
                      <a:avLst/>
                    </a:prstGeom>
                  </pic:spPr>
                </pic:pic>
              </a:graphicData>
            </a:graphic>
          </wp:inline>
        </w:drawing>
      </w:r>
    </w:p>
    <w:p w:rsidR="00656F81" w:rsidRPr="00860B7A" w:rsidRDefault="00C03245" w:rsidP="00C03245">
      <w:pPr>
        <w:rPr>
          <w:color w:val="auto"/>
          <w:sz w:val="28"/>
          <w:szCs w:val="28"/>
        </w:rPr>
      </w:pPr>
      <w:r w:rsidRPr="00860B7A">
        <w:rPr>
          <w:color w:val="auto"/>
          <w:sz w:val="28"/>
          <w:szCs w:val="28"/>
        </w:rPr>
        <w:t>  </w:t>
      </w:r>
    </w:p>
    <w:p w:rsidR="00656F81" w:rsidRPr="00860B7A" w:rsidRDefault="00656F81" w:rsidP="00656F81">
      <w:pPr>
        <w:spacing w:after="96" w:line="259" w:lineRule="auto"/>
        <w:ind w:left="-5" w:firstLine="0"/>
        <w:rPr>
          <w:i/>
          <w:color w:val="auto"/>
          <w:sz w:val="20"/>
          <w:szCs w:val="20"/>
        </w:rPr>
      </w:pPr>
      <w:r w:rsidRPr="00860B7A">
        <w:rPr>
          <w:b/>
          <w:i/>
          <w:color w:val="auto"/>
          <w:sz w:val="20"/>
        </w:rPr>
        <w:t>Photo Caption:</w:t>
      </w:r>
      <w:r w:rsidRPr="00860B7A">
        <w:rPr>
          <w:i/>
          <w:color w:val="auto"/>
          <w:sz w:val="20"/>
        </w:rPr>
        <w:t xml:space="preserve"> </w:t>
      </w:r>
      <w:r w:rsidR="00C03245" w:rsidRPr="00860B7A">
        <w:rPr>
          <w:i/>
          <w:color w:val="auto"/>
          <w:sz w:val="20"/>
        </w:rPr>
        <w:t xml:space="preserve">Tower Federal Credit Union employees gather </w:t>
      </w:r>
      <w:r w:rsidRPr="00860B7A">
        <w:rPr>
          <w:i/>
          <w:color w:val="auto"/>
          <w:sz w:val="20"/>
        </w:rPr>
        <w:t>outside Tower’s Headquarters building in Laurel, Md. to celebrate the credit un</w:t>
      </w:r>
      <w:r w:rsidR="00C03245" w:rsidRPr="00860B7A">
        <w:rPr>
          <w:i/>
          <w:color w:val="auto"/>
          <w:sz w:val="20"/>
        </w:rPr>
        <w:t>ion’s recognition for the fifth</w:t>
      </w:r>
      <w:r w:rsidRPr="00860B7A">
        <w:rPr>
          <w:i/>
          <w:color w:val="auto"/>
          <w:sz w:val="20"/>
        </w:rPr>
        <w:t xml:space="preserve"> year in a row as a “Great Place to Work” </w:t>
      </w:r>
      <w:r w:rsidRPr="00860B7A">
        <w:rPr>
          <w:i/>
          <w:color w:val="auto"/>
          <w:sz w:val="20"/>
          <w:szCs w:val="20"/>
        </w:rPr>
        <w:t>by the independent analysts at Great Place to Work</w:t>
      </w:r>
      <w:r w:rsidRPr="00860B7A">
        <w:rPr>
          <w:i/>
          <w:color w:val="auto"/>
          <w:sz w:val="20"/>
          <w:szCs w:val="20"/>
          <w:vertAlign w:val="superscript"/>
        </w:rPr>
        <w:t>®</w:t>
      </w:r>
      <w:r w:rsidRPr="00860B7A">
        <w:rPr>
          <w:i/>
          <w:color w:val="auto"/>
          <w:sz w:val="20"/>
          <w:szCs w:val="20"/>
        </w:rPr>
        <w:t>, an industry leader on quantifying employee experience.</w:t>
      </w:r>
      <w:r w:rsidR="00637207">
        <w:rPr>
          <w:i/>
          <w:color w:val="auto"/>
          <w:sz w:val="20"/>
          <w:szCs w:val="20"/>
        </w:rPr>
        <w:t xml:space="preserve"> Tower will host an in-person Job </w:t>
      </w:r>
      <w:r w:rsidR="00000919">
        <w:rPr>
          <w:i/>
          <w:color w:val="auto"/>
          <w:sz w:val="20"/>
          <w:szCs w:val="20"/>
        </w:rPr>
        <w:t>Fair at their Laurel Headquarters</w:t>
      </w:r>
      <w:r w:rsidR="00637207">
        <w:rPr>
          <w:i/>
          <w:color w:val="auto"/>
          <w:sz w:val="20"/>
          <w:szCs w:val="20"/>
        </w:rPr>
        <w:t xml:space="preserve"> on July 19, 2023 from 2 pm to 7 pm. To view </w:t>
      </w:r>
      <w:r w:rsidR="00C03245" w:rsidRPr="00860B7A">
        <w:rPr>
          <w:i/>
          <w:color w:val="auto"/>
          <w:sz w:val="20"/>
          <w:szCs w:val="20"/>
        </w:rPr>
        <w:t xml:space="preserve">current job openings, visit </w:t>
      </w:r>
      <w:hyperlink r:id="rId13" w:history="1">
        <w:r w:rsidR="00C03245" w:rsidRPr="00860B7A">
          <w:rPr>
            <w:rStyle w:val="Hyperlink"/>
            <w:i/>
            <w:color w:val="auto"/>
            <w:sz w:val="20"/>
            <w:szCs w:val="20"/>
          </w:rPr>
          <w:t>Careers</w:t>
        </w:r>
      </w:hyperlink>
      <w:r w:rsidR="00C03245" w:rsidRPr="00860B7A">
        <w:rPr>
          <w:i/>
          <w:color w:val="auto"/>
          <w:sz w:val="20"/>
          <w:szCs w:val="20"/>
        </w:rPr>
        <w:t xml:space="preserve"> at towerfcu.org </w:t>
      </w:r>
    </w:p>
    <w:p w:rsidR="00000919" w:rsidRPr="00860B7A" w:rsidRDefault="00000919" w:rsidP="00000919">
      <w:pPr>
        <w:spacing w:after="0" w:line="259" w:lineRule="auto"/>
        <w:ind w:left="0" w:firstLine="0"/>
        <w:jc w:val="center"/>
        <w:rPr>
          <w:b/>
          <w:color w:val="auto"/>
          <w:sz w:val="20"/>
          <w:szCs w:val="20"/>
        </w:rPr>
      </w:pPr>
      <w:r>
        <w:rPr>
          <w:color w:val="auto"/>
        </w:rPr>
        <w:t>###</w:t>
      </w:r>
    </w:p>
    <w:p w:rsidR="00000919" w:rsidRDefault="00000919">
      <w:pPr>
        <w:spacing w:after="0" w:line="259" w:lineRule="auto"/>
        <w:ind w:left="-5"/>
        <w:rPr>
          <w:b/>
          <w:color w:val="auto"/>
          <w:sz w:val="20"/>
          <w:szCs w:val="20"/>
        </w:rPr>
      </w:pPr>
    </w:p>
    <w:p w:rsidR="00A769C9" w:rsidRPr="00860B7A" w:rsidRDefault="002633A2">
      <w:pPr>
        <w:spacing w:after="0" w:line="259" w:lineRule="auto"/>
        <w:ind w:left="-5"/>
        <w:rPr>
          <w:color w:val="auto"/>
          <w:sz w:val="20"/>
          <w:szCs w:val="20"/>
        </w:rPr>
      </w:pPr>
      <w:r w:rsidRPr="00860B7A">
        <w:rPr>
          <w:b/>
          <w:color w:val="auto"/>
          <w:sz w:val="20"/>
          <w:szCs w:val="20"/>
        </w:rPr>
        <w:t xml:space="preserve">About Tower Federal Credit Union </w:t>
      </w:r>
    </w:p>
    <w:p w:rsidR="00677093" w:rsidRPr="00860B7A" w:rsidRDefault="00E27BF3" w:rsidP="00FB36A3">
      <w:pPr>
        <w:spacing w:line="238" w:lineRule="auto"/>
        <w:ind w:left="-5" w:right="264"/>
        <w:rPr>
          <w:color w:val="auto"/>
          <w:sz w:val="22"/>
        </w:rPr>
      </w:pPr>
      <w:hyperlink r:id="rId14">
        <w:r w:rsidR="002633A2" w:rsidRPr="00860B7A">
          <w:rPr>
            <w:color w:val="auto"/>
            <w:sz w:val="20"/>
            <w:szCs w:val="20"/>
            <w:u w:val="single" w:color="0070C0"/>
          </w:rPr>
          <w:t>Tower Federal Credit Union</w:t>
        </w:r>
      </w:hyperlink>
      <w:hyperlink r:id="rId15">
        <w:r w:rsidR="002633A2" w:rsidRPr="00860B7A">
          <w:rPr>
            <w:color w:val="auto"/>
            <w:sz w:val="20"/>
            <w:szCs w:val="20"/>
          </w:rPr>
          <w:t xml:space="preserve"> </w:t>
        </w:r>
      </w:hyperlink>
      <w:r w:rsidR="002633A2" w:rsidRPr="00860B7A">
        <w:rPr>
          <w:color w:val="auto"/>
          <w:sz w:val="20"/>
          <w:szCs w:val="20"/>
        </w:rPr>
        <w:t xml:space="preserve">is a member-owned, non-profit financial institution with headquarters in Laurel, MD. Established in 1953, Tower is the largest federal credit union in Maryland with over </w:t>
      </w:r>
      <w:r w:rsidR="00BC2F18" w:rsidRPr="00860B7A">
        <w:rPr>
          <w:color w:val="auto"/>
          <w:sz w:val="20"/>
          <w:szCs w:val="20"/>
        </w:rPr>
        <w:t>$4</w:t>
      </w:r>
      <w:r w:rsidR="000E37BE">
        <w:rPr>
          <w:color w:val="auto"/>
          <w:sz w:val="20"/>
          <w:szCs w:val="20"/>
        </w:rPr>
        <w:t>.5</w:t>
      </w:r>
      <w:r w:rsidR="002633A2" w:rsidRPr="00860B7A">
        <w:rPr>
          <w:color w:val="auto"/>
          <w:sz w:val="20"/>
          <w:szCs w:val="20"/>
        </w:rPr>
        <w:t xml:space="preserve"> billion in assets. It provides a full array of financial products </w:t>
      </w:r>
      <w:r w:rsidR="006C3299" w:rsidRPr="00860B7A">
        <w:rPr>
          <w:color w:val="auto"/>
          <w:sz w:val="20"/>
          <w:szCs w:val="20"/>
        </w:rPr>
        <w:t xml:space="preserve">and services and serves </w:t>
      </w:r>
      <w:r w:rsidR="00754A06" w:rsidRPr="00860B7A">
        <w:rPr>
          <w:color w:val="auto"/>
          <w:sz w:val="20"/>
          <w:szCs w:val="20"/>
        </w:rPr>
        <w:t xml:space="preserve">more than </w:t>
      </w:r>
      <w:r w:rsidR="00E37943" w:rsidRPr="00860B7A">
        <w:rPr>
          <w:color w:val="auto"/>
          <w:sz w:val="20"/>
          <w:szCs w:val="20"/>
        </w:rPr>
        <w:t>22</w:t>
      </w:r>
      <w:r w:rsidR="00BC2F18" w:rsidRPr="00860B7A">
        <w:rPr>
          <w:color w:val="auto"/>
          <w:sz w:val="20"/>
          <w:szCs w:val="20"/>
        </w:rPr>
        <w:t>0</w:t>
      </w:r>
      <w:r w:rsidR="002633A2" w:rsidRPr="00860B7A">
        <w:rPr>
          <w:color w:val="auto"/>
          <w:sz w:val="20"/>
          <w:szCs w:val="20"/>
        </w:rPr>
        <w:t>,000 members worldwide. Tower serves its local-area members wi</w:t>
      </w:r>
      <w:r w:rsidR="00E7569A" w:rsidRPr="00860B7A">
        <w:rPr>
          <w:color w:val="auto"/>
          <w:sz w:val="20"/>
          <w:szCs w:val="20"/>
        </w:rPr>
        <w:t xml:space="preserve">th 12 branches in Anne Arundel, </w:t>
      </w:r>
      <w:r w:rsidR="002633A2" w:rsidRPr="00860B7A">
        <w:rPr>
          <w:color w:val="auto"/>
          <w:sz w:val="20"/>
          <w:szCs w:val="20"/>
        </w:rPr>
        <w:t xml:space="preserve">Baltimore, Howard, and Prince George’s counties and four branches at Fort Meade, as well as online services and mobile banking at </w:t>
      </w:r>
      <w:r w:rsidR="002633A2" w:rsidRPr="000E37BE">
        <w:rPr>
          <w:color w:val="auto"/>
          <w:sz w:val="20"/>
          <w:szCs w:val="20"/>
        </w:rPr>
        <w:t>towerfcu.org</w:t>
      </w:r>
      <w:r w:rsidR="002633A2" w:rsidRPr="00860B7A">
        <w:rPr>
          <w:color w:val="auto"/>
          <w:sz w:val="20"/>
          <w:szCs w:val="20"/>
        </w:rPr>
        <w:t xml:space="preserve">. </w:t>
      </w:r>
    </w:p>
    <w:sectPr w:rsidR="00677093" w:rsidRPr="00860B7A">
      <w:headerReference w:type="even" r:id="rId16"/>
      <w:headerReference w:type="default" r:id="rId17"/>
      <w:footerReference w:type="even" r:id="rId18"/>
      <w:footerReference w:type="default" r:id="rId19"/>
      <w:headerReference w:type="first" r:id="rId20"/>
      <w:footerReference w:type="first" r:id="rId21"/>
      <w:pgSz w:w="12240" w:h="15840"/>
      <w:pgMar w:top="1395" w:right="1369" w:bottom="15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1D" w:rsidRDefault="00C54D1D" w:rsidP="00EF0D50">
      <w:pPr>
        <w:spacing w:after="0" w:line="240" w:lineRule="auto"/>
      </w:pPr>
      <w:r>
        <w:separator/>
      </w:r>
    </w:p>
  </w:endnote>
  <w:endnote w:type="continuationSeparator" w:id="0">
    <w:p w:rsidR="00C54D1D" w:rsidRDefault="00C54D1D" w:rsidP="00EF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C0" w:rsidRDefault="00F05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C0" w:rsidRDefault="00F05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C0" w:rsidRDefault="00F0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1D" w:rsidRDefault="00C54D1D" w:rsidP="00EF0D50">
      <w:pPr>
        <w:spacing w:after="0" w:line="240" w:lineRule="auto"/>
      </w:pPr>
      <w:r>
        <w:separator/>
      </w:r>
    </w:p>
  </w:footnote>
  <w:footnote w:type="continuationSeparator" w:id="0">
    <w:p w:rsidR="00C54D1D" w:rsidRDefault="00C54D1D" w:rsidP="00EF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C0" w:rsidRDefault="00F05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50" w:rsidRDefault="00EF0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C0" w:rsidRDefault="00F05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A0BE0"/>
    <w:multiLevelType w:val="multilevel"/>
    <w:tmpl w:val="7C4CE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E3500"/>
    <w:multiLevelType w:val="hybridMultilevel"/>
    <w:tmpl w:val="7F64B36C"/>
    <w:lvl w:ilvl="0" w:tplc="A3489A92">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570BA0"/>
    <w:multiLevelType w:val="hybridMultilevel"/>
    <w:tmpl w:val="66CE6C3E"/>
    <w:lvl w:ilvl="0" w:tplc="7452DF5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103524"/>
    <w:multiLevelType w:val="hybridMultilevel"/>
    <w:tmpl w:val="BDC2604C"/>
    <w:lvl w:ilvl="0" w:tplc="03C03856">
      <w:start w:val="301"/>
      <w:numFmt w:val="bullet"/>
      <w:lvlText w:val=""/>
      <w:lvlJc w:val="left"/>
      <w:pPr>
        <w:ind w:left="1790" w:hanging="360"/>
      </w:pPr>
      <w:rPr>
        <w:rFonts w:ascii="Symbol" w:eastAsia="Calibri" w:hAnsi="Symbol"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4" w15:restartNumberingAfterBreak="0">
    <w:nsid w:val="6AC6067E"/>
    <w:multiLevelType w:val="hybridMultilevel"/>
    <w:tmpl w:val="550C338C"/>
    <w:lvl w:ilvl="0" w:tplc="051A353A">
      <w:start w:val="30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C9"/>
    <w:rsid w:val="00000919"/>
    <w:rsid w:val="00035DF2"/>
    <w:rsid w:val="00050F6B"/>
    <w:rsid w:val="00054957"/>
    <w:rsid w:val="000561A3"/>
    <w:rsid w:val="00066F6E"/>
    <w:rsid w:val="000826AB"/>
    <w:rsid w:val="000E37BE"/>
    <w:rsid w:val="000F3E2D"/>
    <w:rsid w:val="00101FD0"/>
    <w:rsid w:val="00113897"/>
    <w:rsid w:val="00122346"/>
    <w:rsid w:val="00134EAC"/>
    <w:rsid w:val="00136440"/>
    <w:rsid w:val="001540D2"/>
    <w:rsid w:val="001549A7"/>
    <w:rsid w:val="00164A37"/>
    <w:rsid w:val="0017491A"/>
    <w:rsid w:val="0018605A"/>
    <w:rsid w:val="001A7969"/>
    <w:rsid w:val="001B7671"/>
    <w:rsid w:val="001D5343"/>
    <w:rsid w:val="001E3873"/>
    <w:rsid w:val="00246786"/>
    <w:rsid w:val="002512BE"/>
    <w:rsid w:val="002633A2"/>
    <w:rsid w:val="00267724"/>
    <w:rsid w:val="00296CF5"/>
    <w:rsid w:val="002B1B57"/>
    <w:rsid w:val="002B3BE9"/>
    <w:rsid w:val="002D3411"/>
    <w:rsid w:val="002E374A"/>
    <w:rsid w:val="002F15C7"/>
    <w:rsid w:val="002F6A92"/>
    <w:rsid w:val="00325AB9"/>
    <w:rsid w:val="00353CB0"/>
    <w:rsid w:val="0037300E"/>
    <w:rsid w:val="00376562"/>
    <w:rsid w:val="003A44F8"/>
    <w:rsid w:val="003F2351"/>
    <w:rsid w:val="003F59B7"/>
    <w:rsid w:val="00401A7C"/>
    <w:rsid w:val="00402C3D"/>
    <w:rsid w:val="0041478E"/>
    <w:rsid w:val="004851BE"/>
    <w:rsid w:val="004B7894"/>
    <w:rsid w:val="004B78B7"/>
    <w:rsid w:val="004C07B1"/>
    <w:rsid w:val="004C75B8"/>
    <w:rsid w:val="004D4793"/>
    <w:rsid w:val="004D7BE5"/>
    <w:rsid w:val="004F189E"/>
    <w:rsid w:val="00520D09"/>
    <w:rsid w:val="00521440"/>
    <w:rsid w:val="00521DBC"/>
    <w:rsid w:val="00554637"/>
    <w:rsid w:val="00564FE5"/>
    <w:rsid w:val="005957D5"/>
    <w:rsid w:val="00595EEE"/>
    <w:rsid w:val="00597F32"/>
    <w:rsid w:val="005B3073"/>
    <w:rsid w:val="005F59C0"/>
    <w:rsid w:val="005F6336"/>
    <w:rsid w:val="005F725F"/>
    <w:rsid w:val="00604397"/>
    <w:rsid w:val="00637207"/>
    <w:rsid w:val="0064068F"/>
    <w:rsid w:val="00656F81"/>
    <w:rsid w:val="00674FCB"/>
    <w:rsid w:val="00677093"/>
    <w:rsid w:val="00686EA4"/>
    <w:rsid w:val="006A6BBB"/>
    <w:rsid w:val="006B086A"/>
    <w:rsid w:val="006C3299"/>
    <w:rsid w:val="006D78FF"/>
    <w:rsid w:val="00706EE9"/>
    <w:rsid w:val="00722943"/>
    <w:rsid w:val="00754A06"/>
    <w:rsid w:val="00756B1B"/>
    <w:rsid w:val="00771DAE"/>
    <w:rsid w:val="00791BD4"/>
    <w:rsid w:val="007A316F"/>
    <w:rsid w:val="007B131E"/>
    <w:rsid w:val="007B273F"/>
    <w:rsid w:val="007C5F9B"/>
    <w:rsid w:val="00802061"/>
    <w:rsid w:val="00815377"/>
    <w:rsid w:val="00845F66"/>
    <w:rsid w:val="008521D9"/>
    <w:rsid w:val="00860B7A"/>
    <w:rsid w:val="008B1D24"/>
    <w:rsid w:val="008C3363"/>
    <w:rsid w:val="008E266E"/>
    <w:rsid w:val="00932F21"/>
    <w:rsid w:val="009511B2"/>
    <w:rsid w:val="00965EF1"/>
    <w:rsid w:val="0097309D"/>
    <w:rsid w:val="00980972"/>
    <w:rsid w:val="009C1718"/>
    <w:rsid w:val="009E32C5"/>
    <w:rsid w:val="009E35F3"/>
    <w:rsid w:val="00A769C9"/>
    <w:rsid w:val="00A80806"/>
    <w:rsid w:val="00A872CE"/>
    <w:rsid w:val="00AA23EF"/>
    <w:rsid w:val="00AB6805"/>
    <w:rsid w:val="00AD1CB0"/>
    <w:rsid w:val="00AF146C"/>
    <w:rsid w:val="00AF2227"/>
    <w:rsid w:val="00B15D70"/>
    <w:rsid w:val="00B246E4"/>
    <w:rsid w:val="00B356C5"/>
    <w:rsid w:val="00B528D7"/>
    <w:rsid w:val="00B67A4B"/>
    <w:rsid w:val="00B94111"/>
    <w:rsid w:val="00BA356F"/>
    <w:rsid w:val="00BC2F18"/>
    <w:rsid w:val="00C03245"/>
    <w:rsid w:val="00C0681B"/>
    <w:rsid w:val="00C36154"/>
    <w:rsid w:val="00C43BA6"/>
    <w:rsid w:val="00C54D1D"/>
    <w:rsid w:val="00CB3716"/>
    <w:rsid w:val="00CD14D7"/>
    <w:rsid w:val="00D07E75"/>
    <w:rsid w:val="00D2480E"/>
    <w:rsid w:val="00D42FE7"/>
    <w:rsid w:val="00D57B96"/>
    <w:rsid w:val="00D6174D"/>
    <w:rsid w:val="00DA2689"/>
    <w:rsid w:val="00DB0B0F"/>
    <w:rsid w:val="00DF2F95"/>
    <w:rsid w:val="00E122C3"/>
    <w:rsid w:val="00E27BF3"/>
    <w:rsid w:val="00E37943"/>
    <w:rsid w:val="00E7569A"/>
    <w:rsid w:val="00E857F2"/>
    <w:rsid w:val="00EF0816"/>
    <w:rsid w:val="00EF0D50"/>
    <w:rsid w:val="00EF3033"/>
    <w:rsid w:val="00F051C0"/>
    <w:rsid w:val="00F06078"/>
    <w:rsid w:val="00F1406A"/>
    <w:rsid w:val="00F2185A"/>
    <w:rsid w:val="00F25087"/>
    <w:rsid w:val="00F26AD1"/>
    <w:rsid w:val="00F27032"/>
    <w:rsid w:val="00F473D5"/>
    <w:rsid w:val="00F60859"/>
    <w:rsid w:val="00F7208A"/>
    <w:rsid w:val="00F7216D"/>
    <w:rsid w:val="00F914FF"/>
    <w:rsid w:val="00FB36A3"/>
    <w:rsid w:val="00FB4EF5"/>
    <w:rsid w:val="00FC2000"/>
    <w:rsid w:val="00FD1679"/>
    <w:rsid w:val="00FD27A2"/>
    <w:rsid w:val="00F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82B671D"/>
  <w15:docId w15:val="{72897B8A-9666-4173-89C8-5182925F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786"/>
    <w:rPr>
      <w:rFonts w:ascii="Segoe UI" w:eastAsia="Arial" w:hAnsi="Segoe UI" w:cs="Segoe UI"/>
      <w:color w:val="000000"/>
      <w:sz w:val="18"/>
      <w:szCs w:val="18"/>
    </w:rPr>
  </w:style>
  <w:style w:type="paragraph" w:styleId="ListParagraph">
    <w:name w:val="List Paragraph"/>
    <w:basedOn w:val="Normal"/>
    <w:uiPriority w:val="34"/>
    <w:qFormat/>
    <w:rsid w:val="00520D09"/>
    <w:pPr>
      <w:spacing w:after="0" w:line="240" w:lineRule="auto"/>
      <w:ind w:left="720" w:firstLine="0"/>
    </w:pPr>
    <w:rPr>
      <w:rFonts w:ascii="Calibri" w:eastAsiaTheme="minorHAnsi" w:hAnsi="Calibri" w:cs="Calibri"/>
      <w:color w:val="auto"/>
      <w:sz w:val="22"/>
    </w:rPr>
  </w:style>
  <w:style w:type="paragraph" w:styleId="Header">
    <w:name w:val="header"/>
    <w:basedOn w:val="Normal"/>
    <w:link w:val="HeaderChar"/>
    <w:uiPriority w:val="99"/>
    <w:unhideWhenUsed/>
    <w:rsid w:val="00EF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50"/>
    <w:rPr>
      <w:rFonts w:ascii="Arial" w:eastAsia="Arial" w:hAnsi="Arial" w:cs="Arial"/>
      <w:color w:val="000000"/>
      <w:sz w:val="24"/>
    </w:rPr>
  </w:style>
  <w:style w:type="paragraph" w:styleId="Footer">
    <w:name w:val="footer"/>
    <w:basedOn w:val="Normal"/>
    <w:link w:val="FooterChar"/>
    <w:uiPriority w:val="99"/>
    <w:unhideWhenUsed/>
    <w:rsid w:val="00EF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50"/>
    <w:rPr>
      <w:rFonts w:ascii="Arial" w:eastAsia="Arial" w:hAnsi="Arial" w:cs="Arial"/>
      <w:color w:val="000000"/>
      <w:sz w:val="24"/>
    </w:rPr>
  </w:style>
  <w:style w:type="character" w:styleId="Hyperlink">
    <w:name w:val="Hyperlink"/>
    <w:basedOn w:val="DefaultParagraphFont"/>
    <w:uiPriority w:val="99"/>
    <w:unhideWhenUsed/>
    <w:rsid w:val="00EF0D50"/>
    <w:rPr>
      <w:color w:val="0563C1" w:themeColor="hyperlink"/>
      <w:u w:val="single"/>
    </w:rPr>
  </w:style>
  <w:style w:type="paragraph" w:styleId="NormalWeb">
    <w:name w:val="Normal (Web)"/>
    <w:basedOn w:val="Normal"/>
    <w:uiPriority w:val="99"/>
    <w:unhideWhenUsed/>
    <w:rsid w:val="00595EE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DA2689"/>
    <w:rPr>
      <w:b/>
      <w:bCs/>
    </w:rPr>
  </w:style>
  <w:style w:type="paragraph" w:styleId="Caption">
    <w:name w:val="caption"/>
    <w:basedOn w:val="Normal"/>
    <w:next w:val="Normal"/>
    <w:uiPriority w:val="35"/>
    <w:unhideWhenUsed/>
    <w:qFormat/>
    <w:rsid w:val="000826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36440"/>
    <w:rPr>
      <w:color w:val="954F72" w:themeColor="followedHyperlink"/>
      <w:u w:val="single"/>
    </w:rPr>
  </w:style>
  <w:style w:type="character" w:styleId="SubtleEmphasis">
    <w:name w:val="Subtle Emphasis"/>
    <w:basedOn w:val="DefaultParagraphFont"/>
    <w:uiPriority w:val="19"/>
    <w:qFormat/>
    <w:rsid w:val="00E3794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0490">
      <w:bodyDiv w:val="1"/>
      <w:marLeft w:val="0"/>
      <w:marRight w:val="0"/>
      <w:marTop w:val="0"/>
      <w:marBottom w:val="0"/>
      <w:divBdr>
        <w:top w:val="none" w:sz="0" w:space="0" w:color="auto"/>
        <w:left w:val="none" w:sz="0" w:space="0" w:color="auto"/>
        <w:bottom w:val="none" w:sz="0" w:space="0" w:color="auto"/>
        <w:right w:val="none" w:sz="0" w:space="0" w:color="auto"/>
      </w:divBdr>
    </w:div>
    <w:div w:id="571814211">
      <w:bodyDiv w:val="1"/>
      <w:marLeft w:val="0"/>
      <w:marRight w:val="0"/>
      <w:marTop w:val="0"/>
      <w:marBottom w:val="0"/>
      <w:divBdr>
        <w:top w:val="none" w:sz="0" w:space="0" w:color="auto"/>
        <w:left w:val="none" w:sz="0" w:space="0" w:color="auto"/>
        <w:bottom w:val="none" w:sz="0" w:space="0" w:color="auto"/>
        <w:right w:val="none" w:sz="0" w:space="0" w:color="auto"/>
      </w:divBdr>
    </w:div>
    <w:div w:id="581178841">
      <w:bodyDiv w:val="1"/>
      <w:marLeft w:val="0"/>
      <w:marRight w:val="0"/>
      <w:marTop w:val="0"/>
      <w:marBottom w:val="0"/>
      <w:divBdr>
        <w:top w:val="none" w:sz="0" w:space="0" w:color="auto"/>
        <w:left w:val="none" w:sz="0" w:space="0" w:color="auto"/>
        <w:bottom w:val="none" w:sz="0" w:space="0" w:color="auto"/>
        <w:right w:val="none" w:sz="0" w:space="0" w:color="auto"/>
      </w:divBdr>
    </w:div>
    <w:div w:id="732002271">
      <w:bodyDiv w:val="1"/>
      <w:marLeft w:val="0"/>
      <w:marRight w:val="0"/>
      <w:marTop w:val="0"/>
      <w:marBottom w:val="0"/>
      <w:divBdr>
        <w:top w:val="none" w:sz="0" w:space="0" w:color="auto"/>
        <w:left w:val="none" w:sz="0" w:space="0" w:color="auto"/>
        <w:bottom w:val="none" w:sz="0" w:space="0" w:color="auto"/>
        <w:right w:val="none" w:sz="0" w:space="0" w:color="auto"/>
      </w:divBdr>
    </w:div>
    <w:div w:id="1017119496">
      <w:bodyDiv w:val="1"/>
      <w:marLeft w:val="0"/>
      <w:marRight w:val="0"/>
      <w:marTop w:val="0"/>
      <w:marBottom w:val="0"/>
      <w:divBdr>
        <w:top w:val="none" w:sz="0" w:space="0" w:color="auto"/>
        <w:left w:val="none" w:sz="0" w:space="0" w:color="auto"/>
        <w:bottom w:val="none" w:sz="0" w:space="0" w:color="auto"/>
        <w:right w:val="none" w:sz="0" w:space="0" w:color="auto"/>
      </w:divBdr>
    </w:div>
    <w:div w:id="1362704629">
      <w:bodyDiv w:val="1"/>
      <w:marLeft w:val="0"/>
      <w:marRight w:val="0"/>
      <w:marTop w:val="0"/>
      <w:marBottom w:val="0"/>
      <w:divBdr>
        <w:top w:val="none" w:sz="0" w:space="0" w:color="auto"/>
        <w:left w:val="none" w:sz="0" w:space="0" w:color="auto"/>
        <w:bottom w:val="none" w:sz="0" w:space="0" w:color="auto"/>
        <w:right w:val="none" w:sz="0" w:space="0" w:color="auto"/>
      </w:divBdr>
    </w:div>
    <w:div w:id="1435201087">
      <w:bodyDiv w:val="1"/>
      <w:marLeft w:val="0"/>
      <w:marRight w:val="0"/>
      <w:marTop w:val="0"/>
      <w:marBottom w:val="0"/>
      <w:divBdr>
        <w:top w:val="none" w:sz="0" w:space="0" w:color="auto"/>
        <w:left w:val="none" w:sz="0" w:space="0" w:color="auto"/>
        <w:bottom w:val="none" w:sz="0" w:space="0" w:color="auto"/>
        <w:right w:val="none" w:sz="0" w:space="0" w:color="auto"/>
      </w:divBdr>
    </w:div>
    <w:div w:id="1684475323">
      <w:bodyDiv w:val="1"/>
      <w:marLeft w:val="0"/>
      <w:marRight w:val="0"/>
      <w:marTop w:val="0"/>
      <w:marBottom w:val="0"/>
      <w:divBdr>
        <w:top w:val="none" w:sz="0" w:space="0" w:color="auto"/>
        <w:left w:val="none" w:sz="0" w:space="0" w:color="auto"/>
        <w:bottom w:val="none" w:sz="0" w:space="0" w:color="auto"/>
        <w:right w:val="none" w:sz="0" w:space="0" w:color="auto"/>
      </w:divBdr>
    </w:div>
    <w:div w:id="1872256492">
      <w:bodyDiv w:val="1"/>
      <w:marLeft w:val="0"/>
      <w:marRight w:val="0"/>
      <w:marTop w:val="0"/>
      <w:marBottom w:val="0"/>
      <w:divBdr>
        <w:top w:val="none" w:sz="0" w:space="0" w:color="auto"/>
        <w:left w:val="none" w:sz="0" w:space="0" w:color="auto"/>
        <w:bottom w:val="none" w:sz="0" w:space="0" w:color="auto"/>
        <w:right w:val="none" w:sz="0" w:space="0" w:color="auto"/>
      </w:divBdr>
    </w:div>
    <w:div w:id="2046058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werfcu.org" TargetMode="External"/><Relationship Id="rId13" Type="http://schemas.openxmlformats.org/officeDocument/2006/relationships/hyperlink" Target="https://www.towerfcu.org/about/career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werfcu.org/careers/" TargetMode="External"/><Relationship Id="rId5" Type="http://schemas.openxmlformats.org/officeDocument/2006/relationships/footnotes" Target="footnotes.xml"/><Relationship Id="rId15" Type="http://schemas.openxmlformats.org/officeDocument/2006/relationships/hyperlink" Target="http://www.towerfcu.org/" TargetMode="External"/><Relationship Id="rId23" Type="http://schemas.openxmlformats.org/officeDocument/2006/relationships/theme" Target="theme/theme1.xml"/><Relationship Id="rId10" Type="http://schemas.openxmlformats.org/officeDocument/2006/relationships/hyperlink" Target="https://www.towerfcu.org/about/location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owercaresfoundation.org" TargetMode="External"/><Relationship Id="rId14" Type="http://schemas.openxmlformats.org/officeDocument/2006/relationships/hyperlink" Target="http://www.towerfcu.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September 9, 2004—Tower Federal Credit Union and the American Red Cross will hold Tower’s final blood drive for 2004 on Octobe</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9, 2004—Tower Federal Credit Union and the American Red Cross will hold Tower’s final blood drive for 2004 on Octobe</dc:title>
  <dc:subject/>
  <dc:creator>Andrea Lynn</dc:creator>
  <cp:keywords/>
  <cp:lastModifiedBy>Bagley, Carla</cp:lastModifiedBy>
  <cp:revision>3</cp:revision>
  <cp:lastPrinted>2023-03-16T19:29:00Z</cp:lastPrinted>
  <dcterms:created xsi:type="dcterms:W3CDTF">2023-07-06T17:08:00Z</dcterms:created>
  <dcterms:modified xsi:type="dcterms:W3CDTF">2023-07-06T17:10:00Z</dcterms:modified>
</cp:coreProperties>
</file>