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FOR IMMEDIATE RELEASE</w:t>
      </w:r>
    </w:p>
    <w:p w:rsidR="00000000" w:rsidDel="00000000" w:rsidP="00000000" w:rsidRDefault="00000000" w:rsidRPr="00000000" w14:paraId="00000003">
      <w:pPr>
        <w:spacing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 </w:t>
      </w:r>
    </w:p>
    <w:p w:rsidR="00000000" w:rsidDel="00000000" w:rsidP="00000000" w:rsidRDefault="00000000" w:rsidRPr="00000000" w14:paraId="00000004">
      <w:pPr>
        <w:spacing w:line="276" w:lineRule="auto"/>
        <w:jc w:val="center"/>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Navy Federal Credit Union Partners With Alacriti </w:t>
      </w:r>
    </w:p>
    <w:p w:rsidR="00000000" w:rsidDel="00000000" w:rsidP="00000000" w:rsidRDefault="00000000" w:rsidRPr="00000000" w14:paraId="00000005">
      <w:pPr>
        <w:spacing w:line="276" w:lineRule="auto"/>
        <w:jc w:val="center"/>
        <w:rPr>
          <w:rFonts w:ascii="Arial" w:cs="Arial" w:eastAsia="Arial" w:hAnsi="Arial"/>
          <w:i w:val="1"/>
          <w:sz w:val="26"/>
          <w:szCs w:val="26"/>
          <w:highlight w:val="white"/>
        </w:rPr>
      </w:pPr>
      <w:r w:rsidDel="00000000" w:rsidR="00000000" w:rsidRPr="00000000">
        <w:rPr>
          <w:rFonts w:ascii="Arial" w:cs="Arial" w:eastAsia="Arial" w:hAnsi="Arial"/>
          <w:i w:val="1"/>
          <w:sz w:val="26"/>
          <w:szCs w:val="26"/>
          <w:highlight w:val="white"/>
          <w:rtl w:val="0"/>
        </w:rPr>
        <w:t xml:space="preserve">The World’s Largest Credit Union Leverages Orbipay Payments Hub</w:t>
      </w:r>
    </w:p>
    <w:p w:rsidR="00000000" w:rsidDel="00000000" w:rsidP="00000000" w:rsidRDefault="00000000" w:rsidRPr="00000000" w14:paraId="00000006">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 </w:t>
      </w:r>
    </w:p>
    <w:p w:rsidR="00000000" w:rsidDel="00000000" w:rsidP="00000000" w:rsidRDefault="00000000" w:rsidRPr="00000000" w14:paraId="00000007">
      <w:pPr>
        <w:spacing w:line="276" w:lineRule="auto"/>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Bridgewater, N.J., </w:t>
      </w:r>
      <w:r w:rsidDel="00000000" w:rsidR="00000000" w:rsidRPr="00000000">
        <w:rPr>
          <w:rFonts w:ascii="Arial" w:cs="Arial" w:eastAsia="Arial" w:hAnsi="Arial"/>
          <w:b w:val="1"/>
          <w:sz w:val="22"/>
          <w:szCs w:val="22"/>
          <w:rtl w:val="0"/>
        </w:rPr>
        <w:t xml:space="preserve">December 7, 2023</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highlight w:val="white"/>
          <w:rtl w:val="0"/>
        </w:rPr>
        <w:t xml:space="preserve">-- (BUSINESS WIRE) – </w:t>
      </w:r>
      <w:hyperlink r:id="rId6">
        <w:r w:rsidDel="00000000" w:rsidR="00000000" w:rsidRPr="00000000">
          <w:rPr>
            <w:rFonts w:ascii="Arial" w:cs="Arial" w:eastAsia="Arial" w:hAnsi="Arial"/>
            <w:color w:val="1155cc"/>
            <w:sz w:val="22"/>
            <w:szCs w:val="22"/>
            <w:highlight w:val="white"/>
            <w:u w:val="single"/>
            <w:rtl w:val="0"/>
          </w:rPr>
          <w:t xml:space="preserve">Navy Federal Credit Union</w:t>
        </w:r>
      </w:hyperlink>
      <w:r w:rsidDel="00000000" w:rsidR="00000000" w:rsidRPr="00000000">
        <w:rPr>
          <w:rFonts w:ascii="Arial" w:cs="Arial" w:eastAsia="Arial" w:hAnsi="Arial"/>
          <w:sz w:val="22"/>
          <w:szCs w:val="22"/>
          <w:highlight w:val="white"/>
          <w:rtl w:val="0"/>
        </w:rPr>
        <w:t xml:space="preserve">, the world’s largest credit union, </w:t>
      </w:r>
      <w:r w:rsidDel="00000000" w:rsidR="00000000" w:rsidRPr="00000000">
        <w:rPr>
          <w:rFonts w:ascii="Arial" w:cs="Arial" w:eastAsia="Arial" w:hAnsi="Arial"/>
          <w:sz w:val="22"/>
          <w:szCs w:val="22"/>
          <w:highlight w:val="white"/>
          <w:rtl w:val="0"/>
        </w:rPr>
        <w:t xml:space="preserve">with $166 billion in assets and more than 13,000,000 members, has partnered with </w:t>
      </w:r>
      <w:hyperlink r:id="rId7">
        <w:r w:rsidDel="00000000" w:rsidR="00000000" w:rsidRPr="00000000">
          <w:rPr>
            <w:rFonts w:ascii="Arial" w:cs="Arial" w:eastAsia="Arial" w:hAnsi="Arial"/>
            <w:color w:val="1155cc"/>
            <w:sz w:val="22"/>
            <w:szCs w:val="22"/>
            <w:highlight w:val="white"/>
            <w:u w:val="single"/>
            <w:rtl w:val="0"/>
          </w:rPr>
          <w:t xml:space="preserve">Alacriti</w:t>
        </w:r>
      </w:hyperlink>
      <w:r w:rsidDel="00000000" w:rsidR="00000000" w:rsidRPr="00000000">
        <w:rPr>
          <w:rFonts w:ascii="Arial" w:cs="Arial" w:eastAsia="Arial" w:hAnsi="Arial"/>
          <w:sz w:val="22"/>
          <w:szCs w:val="22"/>
          <w:highlight w:val="white"/>
          <w:rtl w:val="0"/>
        </w:rPr>
        <w:t xml:space="preserve">, an innovator in cloud-based payments and money movement services, as the platform provider for Navy Federal to enable real-time payments over </w:t>
      </w:r>
      <w:hyperlink r:id="rId8">
        <w:r w:rsidDel="00000000" w:rsidR="00000000" w:rsidRPr="00000000">
          <w:rPr>
            <w:rFonts w:ascii="Arial" w:cs="Arial" w:eastAsia="Arial" w:hAnsi="Arial"/>
            <w:color w:val="1155cc"/>
            <w:sz w:val="22"/>
            <w:szCs w:val="22"/>
            <w:highlight w:val="white"/>
            <w:u w:val="single"/>
            <w:rtl w:val="0"/>
          </w:rPr>
          <w:t xml:space="preserve">The Clearing House’s</w:t>
        </w:r>
      </w:hyperlink>
      <w:r w:rsidDel="00000000" w:rsidR="00000000" w:rsidRPr="00000000">
        <w:rPr>
          <w:rFonts w:ascii="Arial" w:cs="Arial" w:eastAsia="Arial" w:hAnsi="Arial"/>
          <w:sz w:val="22"/>
          <w:szCs w:val="22"/>
          <w:highlight w:val="white"/>
          <w:rtl w:val="0"/>
        </w:rPr>
        <w:t xml:space="preserve"> (TCH) RTP</w:t>
      </w:r>
      <w:r w:rsidDel="00000000" w:rsidR="00000000" w:rsidRPr="00000000">
        <w:rPr>
          <w:rFonts w:ascii="Arial" w:cs="Arial" w:eastAsia="Arial" w:hAnsi="Arial"/>
          <w:sz w:val="22"/>
          <w:szCs w:val="22"/>
          <w:highlight w:val="white"/>
          <w:vertAlign w:val="superscript"/>
          <w:rtl w:val="0"/>
        </w:rPr>
        <w:t xml:space="preserve">®</w:t>
      </w:r>
      <w:r w:rsidDel="00000000" w:rsidR="00000000" w:rsidRPr="00000000">
        <w:rPr>
          <w:rFonts w:ascii="Arial" w:cs="Arial" w:eastAsia="Arial" w:hAnsi="Arial"/>
          <w:color w:val="ff0000"/>
          <w:sz w:val="22"/>
          <w:szCs w:val="22"/>
          <w:highlight w:val="white"/>
          <w:vertAlign w:val="superscript"/>
          <w:rtl w:val="0"/>
        </w:rPr>
        <w:t xml:space="preserve"> </w:t>
      </w:r>
      <w:r w:rsidDel="00000000" w:rsidR="00000000" w:rsidRPr="00000000">
        <w:rPr>
          <w:rFonts w:ascii="Arial" w:cs="Arial" w:eastAsia="Arial" w:hAnsi="Arial"/>
          <w:sz w:val="22"/>
          <w:szCs w:val="22"/>
          <w:highlight w:val="white"/>
          <w:rtl w:val="0"/>
        </w:rPr>
        <w:t xml:space="preserve">network.</w:t>
      </w:r>
    </w:p>
    <w:p w:rsidR="00000000" w:rsidDel="00000000" w:rsidP="00000000" w:rsidRDefault="00000000" w:rsidRPr="00000000" w14:paraId="00000008">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09">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Navy Federal has deployed Alacriti’s cloud-native, ISO 20022-based </w:t>
      </w:r>
      <w:hyperlink r:id="rId9">
        <w:r w:rsidDel="00000000" w:rsidR="00000000" w:rsidRPr="00000000">
          <w:rPr>
            <w:rFonts w:ascii="Arial" w:cs="Arial" w:eastAsia="Arial" w:hAnsi="Arial"/>
            <w:color w:val="1155cc"/>
            <w:sz w:val="22"/>
            <w:szCs w:val="22"/>
            <w:highlight w:val="white"/>
            <w:u w:val="single"/>
            <w:rtl w:val="0"/>
          </w:rPr>
          <w:t xml:space="preserve">Orbipay Payments Hub</w:t>
        </w:r>
      </w:hyperlink>
      <w:r w:rsidDel="00000000" w:rsidR="00000000" w:rsidRPr="00000000">
        <w:rPr>
          <w:rFonts w:ascii="Arial" w:cs="Arial" w:eastAsia="Arial" w:hAnsi="Arial"/>
          <w:sz w:val="22"/>
          <w:szCs w:val="22"/>
          <w:highlight w:val="white"/>
          <w:rtl w:val="0"/>
        </w:rPr>
        <w:t xml:space="preserve">, a payment-as-a-service solution that’s cloud-based and integrates with many banking cores. Orbipay Payments Hub supports real-time payments on the RTP network, ACH, FedNow</w:t>
      </w:r>
      <w:r w:rsidDel="00000000" w:rsidR="00000000" w:rsidRPr="00000000">
        <w:rPr>
          <w:rFonts w:ascii="Arial" w:cs="Arial" w:eastAsia="Arial" w:hAnsi="Arial"/>
          <w:sz w:val="22"/>
          <w:szCs w:val="22"/>
          <w:highlight w:val="white"/>
          <w:vertAlign w:val="superscript"/>
          <w:rtl w:val="0"/>
        </w:rPr>
        <w:t xml:space="preserve">® </w:t>
      </w:r>
      <w:r w:rsidDel="00000000" w:rsidR="00000000" w:rsidRPr="00000000">
        <w:rPr>
          <w:rFonts w:ascii="Arial" w:cs="Arial" w:eastAsia="Arial" w:hAnsi="Arial"/>
          <w:sz w:val="22"/>
          <w:szCs w:val="22"/>
          <w:highlight w:val="white"/>
          <w:rtl w:val="0"/>
        </w:rPr>
        <w:t xml:space="preserve">Service, Visa Direct, and Fedwire payments, giving Navy Federal a scalable, future-proof platform for payments innovation. By leveraging Orbipay Payments Hub, Navy Federal is able to deliver the convenience of receiving funds anytime—instantly. </w:t>
      </w:r>
    </w:p>
    <w:p w:rsidR="00000000" w:rsidDel="00000000" w:rsidP="00000000" w:rsidRDefault="00000000" w:rsidRPr="00000000" w14:paraId="0000000A">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0B">
      <w:pPr>
        <w:rPr>
          <w:rFonts w:ascii="Arial" w:cs="Arial" w:eastAsia="Arial" w:hAnsi="Arial"/>
          <w:color w:val="ff0000"/>
          <w:sz w:val="22"/>
          <w:szCs w:val="22"/>
          <w:highlight w:val="white"/>
        </w:rPr>
      </w:pPr>
      <w:r w:rsidDel="00000000" w:rsidR="00000000" w:rsidRPr="00000000">
        <w:rPr>
          <w:rFonts w:ascii="Arial" w:cs="Arial" w:eastAsia="Arial" w:hAnsi="Arial"/>
          <w:sz w:val="22"/>
          <w:szCs w:val="22"/>
          <w:rtl w:val="0"/>
        </w:rPr>
        <w:t xml:space="preserve">“We are thrilled that Navy Federal Credit Union has joined the RTP Network. Alacriti has been a provider of connectivity to the RTP network from the beginning and will be able to support Navy Federal as it offers innovative real-time payments products to its over 13 million members,'' said Keith Gray, Vice President, The Clearing House.  </w:t>
      </w: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0D">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“We are honored to partner with Navy Federal and help them deliver innovative, instant money movement experiences to their members. By gaining access to TCH’s RTP network through our payments hub, Navy Federal is able to offer a top-notch member experience and drive operational savings,” said Manish Gurukula, Alacriti’s CEO.</w:t>
      </w:r>
    </w:p>
    <w:p w:rsidR="00000000" w:rsidDel="00000000" w:rsidP="00000000" w:rsidRDefault="00000000" w:rsidRPr="00000000" w14:paraId="0000000E">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0F">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0">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1">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2">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About Alacriti</w:t>
      </w:r>
    </w:p>
    <w:p w:rsidR="00000000" w:rsidDel="00000000" w:rsidP="00000000" w:rsidRDefault="00000000" w:rsidRPr="00000000" w14:paraId="00000013">
      <w:pPr>
        <w:spacing w:line="276" w:lineRule="auto"/>
        <w:rPr>
          <w:rFonts w:ascii="Arial" w:cs="Arial" w:eastAsia="Arial" w:hAnsi="Arial"/>
          <w:color w:val="1155cd"/>
          <w:sz w:val="22"/>
          <w:szCs w:val="22"/>
          <w:highlight w:val="white"/>
        </w:rPr>
      </w:pPr>
      <w:r w:rsidDel="00000000" w:rsidR="00000000" w:rsidRPr="00000000">
        <w:rPr>
          <w:rFonts w:ascii="Arial" w:cs="Arial" w:eastAsia="Arial" w:hAnsi="Arial"/>
          <w:sz w:val="22"/>
          <w:szCs w:val="22"/>
          <w:highlight w:val="white"/>
          <w:rtl w:val="0"/>
        </w:rPr>
        <w:t xml:space="preserve">Alacriti is a leading financial technology company with a comprehensive money movement and payments services platform dedicated to helping clients accelerate their digital transformation. Built on a flexible, cloud-native framework, Alacriti’s array of solutions allows clients to deliver the money movement experiences and payments innovation that today’s users demand while seamlessly integrating with their internal infrastructures.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color w:val="1155cd"/>
          <w:sz w:val="22"/>
          <w:szCs w:val="22"/>
          <w:highlight w:val="white"/>
        </w:rPr>
      </w:pPr>
      <w:r w:rsidDel="00000000" w:rsidR="00000000" w:rsidRPr="00000000">
        <w:rPr>
          <w:rFonts w:ascii="Arial" w:cs="Arial" w:eastAsia="Arial" w:hAnsi="Arial"/>
          <w:color w:val="1155cd"/>
          <w:sz w:val="22"/>
          <w:szCs w:val="22"/>
          <w:highlight w:val="white"/>
          <w:rtl w:val="0"/>
        </w:rPr>
        <w:t xml:space="preserve"> </w:t>
      </w:r>
    </w:p>
    <w:p w:rsidR="00000000" w:rsidDel="00000000" w:rsidP="00000000" w:rsidRDefault="00000000" w:rsidRPr="00000000" w14:paraId="00000015">
      <w:pPr>
        <w:spacing w:line="276" w:lineRule="auto"/>
        <w:rPr>
          <w:rFonts w:ascii="Arial" w:cs="Arial" w:eastAsia="Arial" w:hAnsi="Arial"/>
          <w:color w:val="333333"/>
          <w:sz w:val="22"/>
          <w:szCs w:val="22"/>
        </w:rPr>
      </w:pPr>
      <w:r w:rsidDel="00000000" w:rsidR="00000000" w:rsidRPr="00000000">
        <w:rPr>
          <w:rFonts w:ascii="Arial" w:cs="Arial" w:eastAsia="Arial" w:hAnsi="Arial"/>
          <w:b w:val="1"/>
          <w:sz w:val="22"/>
          <w:szCs w:val="22"/>
          <w:highlight w:val="white"/>
          <w:rtl w:val="0"/>
        </w:rPr>
        <w:t xml:space="preserve"> </w:t>
      </w:r>
      <w:r w:rsidDel="00000000" w:rsidR="00000000" w:rsidRPr="00000000">
        <w:rPr>
          <w:rtl w:val="0"/>
        </w:rPr>
      </w:r>
    </w:p>
    <w:p w:rsidR="00000000" w:rsidDel="00000000" w:rsidP="00000000" w:rsidRDefault="00000000" w:rsidRPr="00000000" w14:paraId="00000016">
      <w:pPr>
        <w:shd w:fill="ffffff" w:val="clear"/>
        <w:spacing w:line="276" w:lineRule="auto"/>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color w:val="333333"/>
          <w:sz w:val="22"/>
          <w:szCs w:val="22"/>
          <w:highlight w:val="white"/>
        </w:rPr>
      </w:pPr>
      <w:r w:rsidDel="00000000" w:rsidR="00000000" w:rsidRPr="00000000">
        <w:rPr>
          <w:rFonts w:ascii="Arial" w:cs="Arial" w:eastAsia="Arial" w:hAnsi="Arial"/>
          <w:b w:val="1"/>
          <w:color w:val="333333"/>
          <w:sz w:val="22"/>
          <w:szCs w:val="22"/>
          <w:highlight w:val="white"/>
          <w:rtl w:val="0"/>
        </w:rPr>
        <w:t xml:space="preserve">Media Contacts</w:t>
        <w:br w:type="textWrapping"/>
      </w:r>
      <w:r w:rsidDel="00000000" w:rsidR="00000000" w:rsidRPr="00000000">
        <w:rPr>
          <w:rFonts w:ascii="Arial" w:cs="Arial" w:eastAsia="Arial" w:hAnsi="Arial"/>
          <w:color w:val="333333"/>
          <w:sz w:val="22"/>
          <w:szCs w:val="22"/>
          <w:highlight w:val="white"/>
          <w:rtl w:val="0"/>
        </w:rPr>
        <w:t xml:space="preserve">Kristen Jason </w:t>
      </w:r>
      <w:r w:rsidDel="00000000" w:rsidR="00000000" w:rsidRPr="00000000">
        <w:rPr>
          <w:rFonts w:ascii="Arial" w:cs="Arial" w:eastAsia="Arial" w:hAnsi="Arial"/>
          <w:b w:val="1"/>
          <w:color w:val="333333"/>
          <w:sz w:val="22"/>
          <w:szCs w:val="22"/>
          <w:highlight w:val="white"/>
          <w:rtl w:val="0"/>
        </w:rPr>
        <w:br w:type="textWrapping"/>
      </w:r>
      <w:hyperlink r:id="rId10">
        <w:r w:rsidDel="00000000" w:rsidR="00000000" w:rsidRPr="00000000">
          <w:rPr>
            <w:rFonts w:ascii="Arial" w:cs="Arial" w:eastAsia="Arial" w:hAnsi="Arial"/>
            <w:color w:val="333333"/>
            <w:sz w:val="22"/>
            <w:szCs w:val="22"/>
            <w:highlight w:val="white"/>
            <w:u w:val="single"/>
            <w:rtl w:val="0"/>
          </w:rPr>
          <w:t xml:space="preserve">kristen.jason@alacriti.com</w:t>
        </w:r>
      </w:hyperlink>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b w:val="1"/>
          <w:color w:val="333333"/>
          <w:sz w:val="22"/>
          <w:szCs w:val="22"/>
          <w:highlight w:val="white"/>
        </w:rPr>
      </w:pPr>
      <w:r w:rsidDel="00000000" w:rsidR="00000000" w:rsidRPr="00000000">
        <w:rPr>
          <w:rFonts w:ascii="Arial" w:cs="Arial" w:eastAsia="Arial" w:hAnsi="Arial"/>
          <w:b w:val="1"/>
          <w:color w:val="333333"/>
          <w:sz w:val="22"/>
          <w:szCs w:val="22"/>
          <w:highlight w:val="white"/>
          <w:rtl w:val="0"/>
        </w:rPr>
        <w:t xml:space="preserve">Related Links</w:t>
      </w:r>
    </w:p>
    <w:p w:rsidR="00000000" w:rsidDel="00000000" w:rsidP="00000000" w:rsidRDefault="00000000" w:rsidRPr="00000000" w14:paraId="0000001B">
      <w:pPr>
        <w:spacing w:line="276" w:lineRule="auto"/>
        <w:rPr>
          <w:rFonts w:ascii="Arial" w:cs="Arial" w:eastAsia="Arial" w:hAnsi="Arial"/>
          <w:sz w:val="22"/>
          <w:szCs w:val="22"/>
          <w:highlight w:val="white"/>
        </w:rPr>
      </w:pPr>
      <w:hyperlink r:id="rId11">
        <w:r w:rsidDel="00000000" w:rsidR="00000000" w:rsidRPr="00000000">
          <w:rPr>
            <w:rFonts w:ascii="Arial" w:cs="Arial" w:eastAsia="Arial" w:hAnsi="Arial"/>
            <w:color w:val="333333"/>
            <w:sz w:val="22"/>
            <w:szCs w:val="22"/>
            <w:highlight w:val="white"/>
            <w:rtl w:val="0"/>
          </w:rPr>
          <w:t xml:space="preserve">https://www.alacriti.com/</w:t>
        </w:r>
      </w:hyperlink>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C">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https://www.navyfederal.org/  </w:t>
      </w:r>
    </w:p>
    <w:p w:rsidR="00000000" w:rsidDel="00000000" w:rsidP="00000000" w:rsidRDefault="00000000" w:rsidRPr="00000000" w14:paraId="0000001D">
      <w:pPr>
        <w:spacing w:line="276" w:lineRule="auto"/>
        <w:rPr>
          <w:rFonts w:ascii="Arial" w:cs="Arial" w:eastAsia="Arial" w:hAnsi="Arial"/>
          <w:color w:val="0563c1"/>
          <w:sz w:val="22"/>
          <w:szCs w:val="22"/>
          <w:highlight w:val="white"/>
          <w:u w:val="single"/>
        </w:rPr>
      </w:pPr>
      <w:r w:rsidDel="00000000" w:rsidR="00000000" w:rsidRPr="00000000">
        <w:rPr>
          <w:rFonts w:ascii="Arial" w:cs="Arial" w:eastAsia="Arial" w:hAnsi="Arial"/>
          <w:b w:val="1"/>
          <w:sz w:val="22"/>
          <w:szCs w:val="22"/>
          <w:highlight w:val="white"/>
          <w:rtl w:val="0"/>
        </w:rPr>
        <w:t xml:space="preserve"> </w:t>
      </w: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color w:val="1155cd"/>
          <w:sz w:val="22"/>
          <w:szCs w:val="22"/>
          <w:highlight w:val="white"/>
        </w:rPr>
      </w:pPr>
      <w:r w:rsidDel="00000000" w:rsidR="00000000" w:rsidRPr="00000000">
        <w:rPr>
          <w:rFonts w:ascii="Arial" w:cs="Arial" w:eastAsia="Arial" w:hAnsi="Arial"/>
          <w:color w:val="1155cd"/>
          <w:sz w:val="22"/>
          <w:szCs w:val="22"/>
          <w:highlight w:val="white"/>
          <w:rtl w:val="0"/>
        </w:rPr>
        <w:t xml:space="preserve"> </w:t>
      </w:r>
    </w:p>
    <w:p w:rsidR="00000000" w:rsidDel="00000000" w:rsidP="00000000" w:rsidRDefault="00000000" w:rsidRPr="00000000" w14:paraId="0000001F">
      <w:pPr>
        <w:spacing w:line="276" w:lineRule="auto"/>
        <w:rPr>
          <w:rFonts w:ascii="Arial" w:cs="Arial" w:eastAsia="Arial" w:hAnsi="Arial"/>
          <w:color w:val="1155cd"/>
          <w:sz w:val="22"/>
          <w:szCs w:val="22"/>
          <w:highlight w:val="white"/>
        </w:rPr>
      </w:pPr>
      <w:r w:rsidDel="00000000" w:rsidR="00000000" w:rsidRPr="00000000">
        <w:rPr>
          <w:rFonts w:ascii="Arial" w:cs="Arial" w:eastAsia="Arial" w:hAnsi="Arial"/>
          <w:color w:val="1155cd"/>
          <w:sz w:val="22"/>
          <w:szCs w:val="22"/>
          <w:highlight w:val="white"/>
          <w:rtl w:val="0"/>
        </w:rPr>
        <w:t xml:space="preserve"> </w:t>
      </w:r>
    </w:p>
    <w:p w:rsidR="00000000" w:rsidDel="00000000" w:rsidP="00000000" w:rsidRDefault="00000000" w:rsidRPr="00000000" w14:paraId="00000020">
      <w:pPr>
        <w:spacing w:after="160" w:line="256.7994545454545"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021">
      <w:pPr>
        <w:spacing w:after="160" w:line="259" w:lineRule="auto"/>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4" w:val="single"/>
      </w:pBdr>
      <w:spacing w:after="60" w:before="240" w:lineRule="auto"/>
    </w:pPr>
    <w:rPr>
      <w:rFonts w:ascii="Arial" w:cs="Arial" w:eastAsia="Arial" w:hAnsi="Arial"/>
      <w:b w:val="1"/>
      <w:smallCaps w:val="1"/>
      <w:color w:val="4ca585"/>
      <w:sz w:val="28"/>
      <w:szCs w:val="28"/>
    </w:rPr>
  </w:style>
  <w:style w:type="paragraph" w:styleId="Heading2">
    <w:name w:val="heading 2"/>
    <w:basedOn w:val="Normal"/>
    <w:next w:val="Normal"/>
    <w:pPr>
      <w:pageBreakBefore w:val="0"/>
      <w:spacing w:after="60" w:lineRule="auto"/>
      <w:ind w:right="115"/>
    </w:pPr>
    <w:rPr>
      <w:b w:val="1"/>
      <w:color w:val="ff6c37"/>
    </w:rPr>
  </w:style>
  <w:style w:type="paragraph" w:styleId="Heading3">
    <w:name w:val="heading 3"/>
    <w:basedOn w:val="Normal"/>
    <w:next w:val="Normal"/>
    <w:pPr>
      <w:keepNext w:val="1"/>
      <w:spacing w:after="240" w:before="80" w:lineRule="auto"/>
    </w:pPr>
    <w:rPr>
      <w:rFonts w:ascii="Calibri" w:cs="Calibri" w:eastAsia="Calibri" w:hAnsi="Calibri"/>
      <w:b w:val="1"/>
      <w:color w:val="08144e"/>
      <w:sz w:val="26"/>
      <w:szCs w:val="26"/>
    </w:rPr>
  </w:style>
  <w:style w:type="paragraph" w:styleId="Heading4">
    <w:name w:val="heading 4"/>
    <w:basedOn w:val="Normal"/>
    <w:next w:val="Normal"/>
    <w:pPr>
      <w:keepNext w:val="1"/>
      <w:keepLines w:val="1"/>
      <w:spacing w:before="200" w:lineRule="auto"/>
    </w:pPr>
    <w:rPr>
      <w:color w:val="b8ee44"/>
      <w:u w:val="single"/>
    </w:rPr>
  </w:style>
  <w:style w:type="paragraph" w:styleId="Heading5">
    <w:name w:val="heading 5"/>
    <w:basedOn w:val="Normal"/>
    <w:next w:val="Normal"/>
    <w:pPr>
      <w:keepNext w:val="1"/>
      <w:keepLines w:val="1"/>
      <w:spacing w:after="40" w:before="220" w:lineRule="auto"/>
    </w:pPr>
    <w:rPr>
      <w:b w:val="1"/>
      <w:color w:val="a9cbfb"/>
    </w:rPr>
  </w:style>
  <w:style w:type="paragraph" w:styleId="Heading6">
    <w:name w:val="heading 6"/>
    <w:basedOn w:val="Normal"/>
    <w:next w:val="Normal"/>
    <w:pPr>
      <w:keepNext w:val="1"/>
      <w:keepLines w:val="1"/>
      <w:pageBreakBefore w:val="0"/>
      <w:spacing w:after="40" w:before="200" w:lineRule="auto"/>
    </w:pPr>
    <w:rPr>
      <w:b w:val="1"/>
      <w:color w:val="4ac1e0"/>
      <w:sz w:val="20"/>
      <w:szCs w:val="20"/>
    </w:rPr>
  </w:style>
  <w:style w:type="paragraph" w:styleId="Title">
    <w:name w:val="Title"/>
    <w:basedOn w:val="Normal"/>
    <w:next w:val="Normal"/>
    <w:pPr>
      <w:keepNext w:val="1"/>
      <w:keepLines w:val="1"/>
      <w:spacing w:after="120" w:before="480" w:lineRule="auto"/>
    </w:pPr>
    <w:rPr>
      <w:b w:val="1"/>
      <w:color w:val="1155cc"/>
      <w:sz w:val="34"/>
      <w:szCs w:val="3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36569"/>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lacriti.com/" TargetMode="External"/><Relationship Id="rId10" Type="http://schemas.openxmlformats.org/officeDocument/2006/relationships/hyperlink" Target="mailto:kristen.jason@alacriti.com" TargetMode="External"/><Relationship Id="rId9" Type="http://schemas.openxmlformats.org/officeDocument/2006/relationships/hyperlink" Target="https://www.alacriti.com/orbipay-payments-hub" TargetMode="External"/><Relationship Id="rId5" Type="http://schemas.openxmlformats.org/officeDocument/2006/relationships/styles" Target="styles.xml"/><Relationship Id="rId6" Type="http://schemas.openxmlformats.org/officeDocument/2006/relationships/hyperlink" Target="https://www.navyfederal.org/" TargetMode="External"/><Relationship Id="rId7" Type="http://schemas.openxmlformats.org/officeDocument/2006/relationships/hyperlink" Target="https://www.alacriti.com/" TargetMode="External"/><Relationship Id="rId8" Type="http://schemas.openxmlformats.org/officeDocument/2006/relationships/hyperlink" Target="http://www.theclearinghous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