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02">
      <w:pPr>
        <w:spacing w:line="276" w:lineRule="auto"/>
        <w:jc w:val="center"/>
        <w:rPr>
          <w:b w:val="1"/>
          <w:sz w:val="28"/>
          <w:szCs w:val="28"/>
          <w:highlight w:val="white"/>
        </w:rPr>
      </w:pPr>
      <w:r w:rsidDel="00000000" w:rsidR="00000000" w:rsidRPr="00000000">
        <w:rPr>
          <w:b w:val="1"/>
          <w:sz w:val="28"/>
          <w:szCs w:val="28"/>
          <w:highlight w:val="white"/>
          <w:rtl w:val="0"/>
        </w:rPr>
        <w:t xml:space="preserve">Solutions Metrix</w:t>
      </w:r>
      <w:r w:rsidDel="00000000" w:rsidR="00000000" w:rsidRPr="00000000">
        <w:rPr>
          <w:b w:val="1"/>
          <w:sz w:val="28"/>
          <w:szCs w:val="28"/>
          <w:highlight w:val="white"/>
          <w:rtl w:val="0"/>
        </w:rPr>
        <w:t xml:space="preserve"> Partners With Arkatechture</w:t>
      </w:r>
    </w:p>
    <w:p w:rsidR="00000000" w:rsidDel="00000000" w:rsidP="00000000" w:rsidRDefault="00000000" w:rsidRPr="00000000" w14:paraId="00000003">
      <w:pPr>
        <w:spacing w:after="200" w:before="200" w:line="360" w:lineRule="auto"/>
        <w:jc w:val="center"/>
        <w:rPr>
          <w:i w:val="1"/>
          <w:color w:val="666666"/>
          <w:sz w:val="20"/>
          <w:szCs w:val="20"/>
        </w:rPr>
      </w:pPr>
      <w:r w:rsidDel="00000000" w:rsidR="00000000" w:rsidRPr="00000000">
        <w:rPr>
          <w:i w:val="1"/>
          <w:color w:val="666666"/>
          <w:sz w:val="20"/>
          <w:szCs w:val="20"/>
          <w:rtl w:val="0"/>
        </w:rPr>
        <w:t xml:space="preserve">Solutions Metrix</w:t>
      </w:r>
      <w:r w:rsidDel="00000000" w:rsidR="00000000" w:rsidRPr="00000000">
        <w:rPr>
          <w:i w:val="1"/>
          <w:color w:val="666666"/>
          <w:sz w:val="20"/>
          <w:szCs w:val="20"/>
          <w:rtl w:val="0"/>
        </w:rPr>
        <w:t xml:space="preserve"> and Arkatechture are partnering up to empower credit unions with a comprehensive approach to data analytics, CRM’s, and digital transformation to enhance the member experience.</w:t>
      </w:r>
    </w:p>
    <w:p w:rsidR="00000000" w:rsidDel="00000000" w:rsidP="00000000" w:rsidRDefault="00000000" w:rsidRPr="00000000" w14:paraId="00000004">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hyperlink r:id="rId6">
        <w:r w:rsidDel="00000000" w:rsidR="00000000" w:rsidRPr="00000000">
          <w:rPr>
            <w:rFonts w:ascii="Calibri" w:cs="Calibri" w:eastAsia="Calibri" w:hAnsi="Calibri"/>
            <w:color w:val="1155cc"/>
            <w:sz w:val="24"/>
            <w:szCs w:val="24"/>
            <w:u w:val="single"/>
            <w:rtl w:val="0"/>
          </w:rPr>
          <w:t xml:space="preserve">Arkatechture</w:t>
        </w:r>
      </w:hyperlink>
      <w:r w:rsidDel="00000000" w:rsidR="00000000" w:rsidRPr="00000000">
        <w:rPr>
          <w:rFonts w:ascii="Calibri" w:cs="Calibri" w:eastAsia="Calibri" w:hAnsi="Calibri"/>
          <w:color w:val="374151"/>
          <w:sz w:val="24"/>
          <w:szCs w:val="24"/>
          <w:rtl w:val="0"/>
        </w:rPr>
        <w:t xml:space="preserve">, a technology company dedicated to empowering organizations with a better understanding of their business through data, has announced a strategic partnership with </w:t>
      </w:r>
      <w:hyperlink r:id="rId7">
        <w:r w:rsidDel="00000000" w:rsidR="00000000" w:rsidRPr="00000000">
          <w:rPr>
            <w:rFonts w:ascii="Calibri" w:cs="Calibri" w:eastAsia="Calibri" w:hAnsi="Calibri"/>
            <w:color w:val="1155cc"/>
            <w:sz w:val="24"/>
            <w:szCs w:val="24"/>
            <w:u w:val="single"/>
            <w:rtl w:val="0"/>
          </w:rPr>
          <w:t xml:space="preserve">Solutions Metrix</w:t>
        </w:r>
      </w:hyperlink>
      <w:r w:rsidDel="00000000" w:rsidR="00000000" w:rsidRPr="00000000">
        <w:rPr>
          <w:rFonts w:ascii="Calibri" w:cs="Calibri" w:eastAsia="Calibri" w:hAnsi="Calibri"/>
          <w:color w:val="374151"/>
          <w:sz w:val="24"/>
          <w:szCs w:val="24"/>
          <w:rtl w:val="0"/>
        </w:rPr>
        <w:t xml:space="preserve">, a consulting and CRM integration organization. This collaboration emphasizes the importance of preparing data in a way that allows credit unions to take actionable steps, ensuring a consistent and seamless experience for members across all touchpoints.</w:t>
      </w:r>
    </w:p>
    <w:p w:rsidR="00000000" w:rsidDel="00000000" w:rsidP="00000000" w:rsidRDefault="00000000" w:rsidRPr="00000000" w14:paraId="00000005">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Solutions Metrix stands out as a service company, offering a unique perspective that goes beyond conventional software vendors. Their service-oriented approach, coupled with expertise in change management, user adoption, and executing full roadmaps for digital transformation, provides credit unions with the guidance needed to thrive in the evolving financial landscape.</w:t>
      </w:r>
    </w:p>
    <w:p w:rsidR="00000000" w:rsidDel="00000000" w:rsidP="00000000" w:rsidRDefault="00000000" w:rsidRPr="00000000" w14:paraId="00000006">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Credit unions, particularly smaller ones, can now benefit from operational and analytical efficiencies that enable them to compete effectively with larger counterparts while maintaining a grassroots connection to their community.</w:t>
      </w:r>
    </w:p>
    <w:p w:rsidR="00000000" w:rsidDel="00000000" w:rsidP="00000000" w:rsidRDefault="00000000" w:rsidRPr="00000000" w14:paraId="00000007">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The heart of the partnership involves delivering ready-to-use technology alongside valuable hands-on coaching. By addressing engagement disparities between branches and digital platforms, Solutions Metrix and Arkatechture are committed to elevating member experiences for credit unions. The two companies work together closely with each credit union early in their data journey to benefit from the full spectrum of capabilities offered by each partner. </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"The goal of the partnership is to provide common expertise to credit unions so they can leverage it and move forward together to penetrate the market and have a unique offer that will, in their eyes, de-risk entering and managing a digital transformation project ," said Sebastien Forget, President and Owner of Solutions Metrix. </w:t>
      </w:r>
    </w:p>
    <w:p w:rsidR="00000000" w:rsidDel="00000000" w:rsidP="00000000" w:rsidRDefault="00000000" w:rsidRPr="00000000" w14:paraId="00000009">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This collaboration positions Solutions Metrix and Arkatechture as a formidable force in the realm of integrated CRM solutions. Their competitive advantage lies in the ability to transform data into actionable strategies, including calls, workflow optimization, marketing campaigns, and digital initiatives. Together, they can harness information and translate it into impactful, member-centric actions.</w:t>
      </w:r>
    </w:p>
    <w:p w:rsidR="00000000" w:rsidDel="00000000" w:rsidP="00000000" w:rsidRDefault="00000000" w:rsidRPr="00000000" w14:paraId="0000000A">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"Many of our clients have never had access to data in the manner that we at Arkatechture are able to provide to them. They digest this data and understand what has happened, but what do they do with that data next? I think that Solutions Metrix, with the expertise that you have on how to set up a CRM for best practices, and how to drive proactive motions- is going to make us a really powerful team, so I’m really excited about that" added Tyler Schneider, Head of Sales at Arkatechture.</w:t>
      </w:r>
    </w:p>
    <w:p w:rsidR="00000000" w:rsidDel="00000000" w:rsidP="00000000" w:rsidRDefault="00000000" w:rsidRPr="00000000" w14:paraId="0000000B">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Calibri" w:cs="Calibri" w:eastAsia="Calibri" w:hAnsi="Calibri"/>
          <w:color w:val="374151"/>
          <w:sz w:val="24"/>
          <w:szCs w:val="24"/>
        </w:rPr>
      </w:pPr>
      <w:r w:rsidDel="00000000" w:rsidR="00000000" w:rsidRPr="00000000">
        <w:rPr>
          <w:rFonts w:ascii="Calibri" w:cs="Calibri" w:eastAsia="Calibri" w:hAnsi="Calibri"/>
          <w:color w:val="374151"/>
          <w:sz w:val="24"/>
          <w:szCs w:val="24"/>
          <w:rtl w:val="0"/>
        </w:rPr>
        <w:t xml:space="preserve">This strategic partnership signifies a commitment to innovation, excellence, and the shared vision of ushering credit unions into a new era of digital prowess. Solutions Metrix and Arkatechture are poised to revolutionize the credit union landscape, providing the tools, approaches, and expertise needed for a successful digital transformation journey.</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drawing>
          <wp:inline distB="114300" distT="114300" distL="114300" distR="114300">
            <wp:extent cx="1425908" cy="1425908"/>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425908" cy="1425908"/>
                    </a:xfrm>
                    <a:prstGeom prst="rect"/>
                    <a:ln/>
                  </pic:spPr>
                </pic:pic>
              </a:graphicData>
            </a:graphic>
          </wp:inline>
        </w:drawing>
      </w:r>
      <w:r w:rsidDel="00000000" w:rsidR="00000000" w:rsidRPr="00000000">
        <w:rPr>
          <w:rtl w:val="0"/>
        </w:rPr>
        <w:t xml:space="preserve">Tyler Schneider, Head of Sales at Arkatechture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drawing>
          <wp:inline distB="114300" distT="114300" distL="114300" distR="114300">
            <wp:extent cx="1481138" cy="1481138"/>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481138" cy="1481138"/>
                    </a:xfrm>
                    <a:prstGeom prst="rect"/>
                    <a:ln/>
                  </pic:spPr>
                </pic:pic>
              </a:graphicData>
            </a:graphic>
          </wp:inline>
        </w:drawing>
      </w:r>
      <w:r w:rsidDel="00000000" w:rsidR="00000000" w:rsidRPr="00000000">
        <w:rPr>
          <w:rtl w:val="0"/>
        </w:rPr>
        <w:t xml:space="preserve">Sebastien Forget, President &amp; Owner of Solutions Metrix</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shd w:fill="ffffff" w:val="clear"/>
        <w:spacing w:line="360" w:lineRule="auto"/>
        <w:rPr>
          <w:rFonts w:ascii="Calibri" w:cs="Calibri" w:eastAsia="Calibri" w:hAnsi="Calibri"/>
        </w:rPr>
      </w:pPr>
      <w:r w:rsidDel="00000000" w:rsidR="00000000" w:rsidRPr="00000000">
        <w:rPr>
          <w:rFonts w:ascii="Calibri" w:cs="Calibri" w:eastAsia="Calibri" w:hAnsi="Calibri"/>
          <w:rtl w:val="0"/>
        </w:rPr>
        <w:t xml:space="preserve">_____________________________________________________________________________________</w:t>
      </w:r>
    </w:p>
    <w:p w:rsidR="00000000" w:rsidDel="00000000" w:rsidP="00000000" w:rsidRDefault="00000000" w:rsidRPr="00000000" w14:paraId="00000016">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17">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18">
      <w:pPr>
        <w:spacing w:line="240" w:lineRule="auto"/>
        <w:rPr>
          <w:rFonts w:ascii="Calibri" w:cs="Calibri" w:eastAsia="Calibri" w:hAnsi="Calibri"/>
          <w:b w:val="1"/>
          <w:color w:val="808080"/>
        </w:rPr>
      </w:pPr>
      <w:r w:rsidDel="00000000" w:rsidR="00000000" w:rsidRPr="00000000">
        <w:rPr>
          <w:rFonts w:ascii="Calibri" w:cs="Calibri" w:eastAsia="Calibri" w:hAnsi="Calibri"/>
          <w:b w:val="1"/>
          <w:color w:val="808080"/>
          <w:rtl w:val="0"/>
        </w:rPr>
        <w:t xml:space="preserve">About Arkatechture</w:t>
      </w:r>
    </w:p>
    <w:p w:rsidR="00000000" w:rsidDel="00000000" w:rsidP="00000000" w:rsidRDefault="00000000" w:rsidRPr="00000000" w14:paraId="00000019">
      <w:pPr>
        <w:spacing w:line="240" w:lineRule="auto"/>
        <w:rPr>
          <w:rFonts w:ascii="Calibri" w:cs="Calibri" w:eastAsia="Calibri" w:hAnsi="Calibri"/>
          <w:color w:val="808080"/>
        </w:rPr>
      </w:pPr>
      <w:hyperlink r:id="rId10">
        <w:r w:rsidDel="00000000" w:rsidR="00000000" w:rsidRPr="00000000">
          <w:rPr>
            <w:rFonts w:ascii="Calibri" w:cs="Calibri" w:eastAsia="Calibri" w:hAnsi="Calibri"/>
            <w:color w:val="0000ff"/>
            <w:u w:val="single"/>
            <w:rtl w:val="0"/>
          </w:rPr>
          <w:t xml:space="preserve">Arkatechture CUSO</w:t>
        </w:r>
      </w:hyperlink>
      <w:r w:rsidDel="00000000" w:rsidR="00000000" w:rsidRPr="00000000">
        <w:rPr>
          <w:rFonts w:ascii="Calibri" w:cs="Calibri" w:eastAsia="Calibri" w:hAnsi="Calibri"/>
          <w:color w:val="808080"/>
          <w:rtl w:val="0"/>
        </w:rPr>
        <w:t xml:space="preserve"> is a provider of data management and business intelligence solutions for credit unions. Their data platform, Arkalytics, combines a cloud-native Data Lakehouse with a suite of financial dashboards &amp; reports. Arkalytics integrates data from key banking systems to create a centralized data hub and ecosystem to secure, manage, share, and analyze the credit union’s data.</w:t>
      </w:r>
    </w:p>
    <w:p w:rsidR="00000000" w:rsidDel="00000000" w:rsidP="00000000" w:rsidRDefault="00000000" w:rsidRPr="00000000" w14:paraId="0000001A">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color w:val="808080"/>
        </w:rPr>
      </w:pPr>
      <w:hyperlink r:id="rId11">
        <w:r w:rsidDel="00000000" w:rsidR="00000000" w:rsidRPr="00000000">
          <w:rPr>
            <w:rFonts w:ascii="Calibri" w:cs="Calibri" w:eastAsia="Calibri" w:hAnsi="Calibri"/>
            <w:color w:val="0000ff"/>
            <w:u w:val="single"/>
            <w:rtl w:val="0"/>
          </w:rPr>
          <w:t xml:space="preserve">Arkalytics</w:t>
        </w:r>
      </w:hyperlink>
      <w:r w:rsidDel="00000000" w:rsidR="00000000" w:rsidRPr="00000000">
        <w:rPr>
          <w:rFonts w:ascii="Calibri" w:cs="Calibri" w:eastAsia="Calibri" w:hAnsi="Calibri"/>
          <w:color w:val="808080"/>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1C">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1D">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E">
      <w:pPr>
        <w:spacing w:line="240"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For more information, visit </w:t>
      </w:r>
      <w:hyperlink r:id="rId12">
        <w:r w:rsidDel="00000000" w:rsidR="00000000" w:rsidRPr="00000000">
          <w:rPr>
            <w:rFonts w:ascii="Calibri" w:cs="Calibri" w:eastAsia="Calibri" w:hAnsi="Calibri"/>
            <w:color w:val="0000ff"/>
            <w:u w:val="single"/>
            <w:rtl w:val="0"/>
          </w:rPr>
          <w:t xml:space="preserve">www.arkatechture.com</w:t>
        </w:r>
      </w:hyperlink>
      <w:r w:rsidDel="00000000" w:rsidR="00000000" w:rsidRPr="00000000">
        <w:rPr>
          <w:rFonts w:ascii="Calibri" w:cs="Calibri" w:eastAsia="Calibri" w:hAnsi="Calibri"/>
          <w:color w:val="808080"/>
          <w:rtl w:val="0"/>
        </w:rPr>
        <w:t xml:space="preserve"> or </w:t>
      </w:r>
      <w:hyperlink r:id="rId13">
        <w:r w:rsidDel="00000000" w:rsidR="00000000" w:rsidRPr="00000000">
          <w:rPr>
            <w:rFonts w:ascii="Calibri" w:cs="Calibri" w:eastAsia="Calibri" w:hAnsi="Calibri"/>
            <w:color w:val="0000ff"/>
            <w:u w:val="single"/>
            <w:rtl w:val="0"/>
          </w:rPr>
          <w:t xml:space="preserve">contact them</w:t>
        </w:r>
      </w:hyperlink>
      <w:r w:rsidDel="00000000" w:rsidR="00000000" w:rsidRPr="00000000">
        <w:rPr>
          <w:rFonts w:ascii="Calibri" w:cs="Calibri" w:eastAsia="Calibri" w:hAnsi="Calibri"/>
          <w:color w:val="808080"/>
          <w:rtl w:val="0"/>
        </w:rPr>
        <w:t xml:space="preserve"> directly here.</w:t>
      </w:r>
    </w:p>
    <w:p w:rsidR="00000000" w:rsidDel="00000000" w:rsidP="00000000" w:rsidRDefault="00000000" w:rsidRPr="00000000" w14:paraId="0000001F">
      <w:pPr>
        <w:spacing w:line="240"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20">
      <w:pPr>
        <w:spacing w:line="240" w:lineRule="auto"/>
        <w:rPr>
          <w:rFonts w:ascii="Calibri" w:cs="Calibri" w:eastAsia="Calibri" w:hAnsi="Calibri"/>
          <w:b w:val="1"/>
          <w:color w:val="808080"/>
        </w:rPr>
      </w:pPr>
      <w:r w:rsidDel="00000000" w:rsidR="00000000" w:rsidRPr="00000000">
        <w:rPr>
          <w:rtl w:val="0"/>
        </w:rPr>
      </w:r>
    </w:p>
    <w:p w:rsidR="00000000" w:rsidDel="00000000" w:rsidP="00000000" w:rsidRDefault="00000000" w:rsidRPr="00000000" w14:paraId="00000021">
      <w:pPr>
        <w:spacing w:line="240" w:lineRule="auto"/>
        <w:rPr>
          <w:rFonts w:ascii="Calibri" w:cs="Calibri" w:eastAsia="Calibri" w:hAnsi="Calibri"/>
          <w:b w:val="1"/>
          <w:color w:val="808080"/>
        </w:rPr>
      </w:pPr>
      <w:r w:rsidDel="00000000" w:rsidR="00000000" w:rsidRPr="00000000">
        <w:rPr>
          <w:rFonts w:ascii="Calibri" w:cs="Calibri" w:eastAsia="Calibri" w:hAnsi="Calibri"/>
          <w:b w:val="1"/>
          <w:color w:val="808080"/>
          <w:rtl w:val="0"/>
        </w:rPr>
        <w:t xml:space="preserve">About Solutions Metrix</w:t>
      </w:r>
    </w:p>
    <w:p w:rsidR="00000000" w:rsidDel="00000000" w:rsidP="00000000" w:rsidRDefault="00000000" w:rsidRPr="00000000" w14:paraId="00000022">
      <w:pPr>
        <w:spacing w:line="240" w:lineRule="auto"/>
        <w:rPr>
          <w:rFonts w:ascii="Calibri" w:cs="Calibri" w:eastAsia="Calibri" w:hAnsi="Calibri"/>
          <w:color w:val="808080"/>
        </w:rPr>
      </w:pPr>
      <w:hyperlink r:id="rId14">
        <w:r w:rsidDel="00000000" w:rsidR="00000000" w:rsidRPr="00000000">
          <w:rPr>
            <w:rFonts w:ascii="Calibri" w:cs="Calibri" w:eastAsia="Calibri" w:hAnsi="Calibri"/>
            <w:color w:val="1155cc"/>
            <w:u w:val="single"/>
            <w:rtl w:val="0"/>
          </w:rPr>
          <w:t xml:space="preserve">Solutions Metrix</w:t>
        </w:r>
      </w:hyperlink>
      <w:r w:rsidDel="00000000" w:rsidR="00000000" w:rsidRPr="00000000">
        <w:rPr>
          <w:rFonts w:ascii="Calibri" w:cs="Calibri" w:eastAsia="Calibri" w:hAnsi="Calibri"/>
          <w:color w:val="808080"/>
          <w:rtl w:val="0"/>
        </w:rPr>
        <w:t xml:space="preserve"> is a consulting and CRM integration organization based out of Montreal with a mission to drive technological innovation for its customers designed towards elevating their customers’ experience. Their key differentiator is that we value business capabilities and solutions over platforms. Hence, we assist our customers in the end-to-end journey of their digital transformation including CRM procurement and selection, CX consulting and best practices, planning and roadmap development, implementation and integration, business consulting, CRM user adoption and change management, CRM self-sufficiency and custom applications.</w:t>
      </w:r>
    </w:p>
    <w:p w:rsidR="00000000" w:rsidDel="00000000" w:rsidP="00000000" w:rsidRDefault="00000000" w:rsidRPr="00000000" w14:paraId="00000023">
      <w:pPr>
        <w:rPr/>
      </w:pPr>
      <w:r w:rsidDel="00000000" w:rsidR="00000000" w:rsidRPr="00000000">
        <w:rPr>
          <w:rtl w:val="0"/>
        </w:rPr>
      </w:r>
    </w:p>
    <w:sectPr>
      <w:headerReference r:id="rId15" w:type="default"/>
      <w:headerReference r:id="rId16" w:type="first"/>
      <w:footerReference r:id="rId17"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rPr/>
    </w:pPr>
    <w:r w:rsidDel="00000000" w:rsidR="00000000" w:rsidRPr="00000000">
      <w:rPr/>
      <w:drawing>
        <wp:inline distB="114300" distT="114300" distL="114300" distR="114300">
          <wp:extent cx="2224088" cy="270132"/>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rkatechture.com/arkalytics" TargetMode="External"/><Relationship Id="rId10" Type="http://schemas.openxmlformats.org/officeDocument/2006/relationships/hyperlink" Target="http://www.arkatechture.com/" TargetMode="External"/><Relationship Id="rId13" Type="http://schemas.openxmlformats.org/officeDocument/2006/relationships/hyperlink" Target="https://www.arkatechture.com/contact" TargetMode="External"/><Relationship Id="rId12" Type="http://schemas.openxmlformats.org/officeDocument/2006/relationships/hyperlink" Target="http://www.arkatechture.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eader" Target="header1.xml"/><Relationship Id="rId14" Type="http://schemas.openxmlformats.org/officeDocument/2006/relationships/hyperlink" Target="https://www.solutionsmetrix.com/crm-solutions-leader/" TargetMode="External"/><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www.arkatechture.com/" TargetMode="External"/><Relationship Id="rId7" Type="http://schemas.openxmlformats.org/officeDocument/2006/relationships/hyperlink" Target="https://www.solutionsmetrix.com/" TargetMode="External"/><Relationship Id="rId8"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