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5E035BE2" w:rsidR="00E36772" w:rsidRPr="00BB1086" w:rsidRDefault="00E36772" w:rsidP="00BB10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Hlk180477557"/>
      <w:bookmarkEnd w:id="0"/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BB01212" wp14:editId="321AA712">
            <wp:extent cx="5943600" cy="732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al Logo -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935C" w14:textId="46E082C9" w:rsidR="00D645AA" w:rsidRPr="00D645AA" w:rsidRDefault="00EC1332" w:rsidP="00D645AA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30"/>
          <w:szCs w:val="28"/>
        </w:rPr>
      </w:pPr>
      <w:r w:rsidRPr="002F2996">
        <w:rPr>
          <w:rFonts w:ascii="Arial" w:eastAsia="Arial" w:hAnsi="Arial" w:cs="Times New Roman"/>
          <w:b/>
          <w:bCs/>
          <w:sz w:val="30"/>
          <w:szCs w:val="28"/>
        </w:rPr>
        <w:t xml:space="preserve">Greater </w:t>
      </w:r>
      <w:proofErr w:type="spellStart"/>
      <w:r w:rsidRPr="002F2996">
        <w:rPr>
          <w:rFonts w:ascii="Arial" w:eastAsia="Arial" w:hAnsi="Arial" w:cs="Times New Roman"/>
          <w:b/>
          <w:bCs/>
          <w:sz w:val="30"/>
          <w:szCs w:val="28"/>
        </w:rPr>
        <w:t>Texas|Aggieland</w:t>
      </w:r>
      <w:proofErr w:type="spellEnd"/>
      <w:r w:rsidRPr="002F2996">
        <w:rPr>
          <w:rFonts w:ascii="Arial" w:eastAsia="Arial" w:hAnsi="Arial" w:cs="Times New Roman"/>
          <w:b/>
          <w:bCs/>
          <w:sz w:val="30"/>
          <w:szCs w:val="28"/>
        </w:rPr>
        <w:t xml:space="preserve"> </w:t>
      </w:r>
      <w:r w:rsidR="002F2996" w:rsidRPr="002F2996">
        <w:rPr>
          <w:rFonts w:ascii="Arial" w:eastAsia="Arial" w:hAnsi="Arial" w:cs="Times New Roman"/>
          <w:b/>
          <w:bCs/>
          <w:sz w:val="30"/>
          <w:szCs w:val="28"/>
        </w:rPr>
        <w:t>Take</w:t>
      </w:r>
      <w:r w:rsidR="00F418AC">
        <w:rPr>
          <w:rFonts w:ascii="Arial" w:eastAsia="Arial" w:hAnsi="Arial" w:cs="Times New Roman"/>
          <w:b/>
          <w:bCs/>
          <w:sz w:val="30"/>
          <w:szCs w:val="28"/>
        </w:rPr>
        <w:t>s</w:t>
      </w:r>
      <w:r w:rsidR="002F2996" w:rsidRPr="002F2996">
        <w:rPr>
          <w:rFonts w:ascii="Arial" w:eastAsia="Arial" w:hAnsi="Arial" w:cs="Times New Roman"/>
          <w:b/>
          <w:bCs/>
          <w:sz w:val="30"/>
          <w:szCs w:val="28"/>
        </w:rPr>
        <w:t xml:space="preserve"> Home Three Awards from the Marketing Association of Credit Unions</w:t>
      </w:r>
    </w:p>
    <w:p w14:paraId="1AF2F103" w14:textId="776408CB" w:rsidR="00D645AA" w:rsidRPr="00D645AA" w:rsidRDefault="00D645AA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65648B2C" w14:textId="4B36E5E8" w:rsidR="00057E8B" w:rsidRDefault="00D645AA" w:rsidP="00611B44">
      <w:pPr>
        <w:spacing w:after="0" w:line="280" w:lineRule="exact"/>
        <w:rPr>
          <w:rFonts w:ascii="Arial" w:eastAsia="Arial" w:hAnsi="Arial" w:cs="Times New Roman"/>
        </w:rPr>
      </w:pPr>
      <w:r w:rsidRPr="00794E35">
        <w:rPr>
          <w:rFonts w:ascii="Arial" w:eastAsia="Arial" w:hAnsi="Arial" w:cs="Times New Roman"/>
          <w:b/>
          <w:bCs/>
        </w:rPr>
        <w:t xml:space="preserve">AUSTIN, </w:t>
      </w:r>
      <w:r w:rsidR="0053729A">
        <w:rPr>
          <w:rFonts w:ascii="Arial" w:eastAsia="Arial" w:hAnsi="Arial" w:cs="Times New Roman"/>
          <w:b/>
          <w:bCs/>
        </w:rPr>
        <w:t>Oct.</w:t>
      </w:r>
      <w:r w:rsidR="00460E03">
        <w:rPr>
          <w:rFonts w:ascii="Arial" w:eastAsia="Arial" w:hAnsi="Arial" w:cs="Times New Roman"/>
          <w:b/>
          <w:bCs/>
        </w:rPr>
        <w:t xml:space="preserve"> </w:t>
      </w:r>
      <w:r w:rsidR="00A070D9">
        <w:rPr>
          <w:rFonts w:ascii="Arial" w:eastAsia="Arial" w:hAnsi="Arial" w:cs="Times New Roman"/>
          <w:b/>
          <w:bCs/>
        </w:rPr>
        <w:t>22</w:t>
      </w:r>
      <w:r w:rsidR="00460E03">
        <w:rPr>
          <w:rFonts w:ascii="Arial" w:eastAsia="Arial" w:hAnsi="Arial" w:cs="Times New Roman"/>
          <w:b/>
          <w:bCs/>
        </w:rPr>
        <w:t>,</w:t>
      </w:r>
      <w:r w:rsidRPr="00794E35">
        <w:rPr>
          <w:rFonts w:ascii="Arial" w:eastAsia="Arial" w:hAnsi="Arial" w:cs="Times New Roman"/>
          <w:b/>
          <w:bCs/>
        </w:rPr>
        <w:t xml:space="preserve"> 202</w:t>
      </w:r>
      <w:r w:rsidR="0053729A">
        <w:rPr>
          <w:rFonts w:ascii="Arial" w:eastAsia="Arial" w:hAnsi="Arial" w:cs="Times New Roman"/>
          <w:b/>
          <w:bCs/>
        </w:rPr>
        <w:t>4</w:t>
      </w:r>
      <w:r w:rsidRPr="00794E35">
        <w:rPr>
          <w:rFonts w:ascii="Arial" w:eastAsia="Arial" w:hAnsi="Arial" w:cs="Times New Roman"/>
        </w:rPr>
        <w:t xml:space="preserve"> – </w:t>
      </w:r>
      <w:r w:rsidR="00057E8B">
        <w:rPr>
          <w:rFonts w:ascii="Arial" w:eastAsia="Arial" w:hAnsi="Arial" w:cs="Times New Roman"/>
        </w:rPr>
        <w:t xml:space="preserve">The Marketing Association </w:t>
      </w:r>
      <w:r w:rsidR="00A268DC">
        <w:rPr>
          <w:rFonts w:ascii="Arial" w:eastAsia="Arial" w:hAnsi="Arial" w:cs="Times New Roman"/>
        </w:rPr>
        <w:t xml:space="preserve">of </w:t>
      </w:r>
      <w:r w:rsidR="00057E8B">
        <w:rPr>
          <w:rFonts w:ascii="Arial" w:eastAsia="Arial" w:hAnsi="Arial" w:cs="Times New Roman"/>
        </w:rPr>
        <w:t xml:space="preserve">Credit Unions (MAC) presented </w:t>
      </w:r>
      <w:hyperlink r:id="rId7" w:history="1">
        <w:r w:rsidR="00057E8B" w:rsidRPr="002C09E8">
          <w:rPr>
            <w:rStyle w:val="Hyperlink"/>
            <w:rFonts w:ascii="Arial" w:eastAsia="Arial" w:hAnsi="Arial" w:cs="Times New Roman"/>
          </w:rPr>
          <w:t xml:space="preserve">Greater </w:t>
        </w:r>
        <w:proofErr w:type="spellStart"/>
        <w:r w:rsidR="00057E8B" w:rsidRPr="002C09E8">
          <w:rPr>
            <w:rStyle w:val="Hyperlink"/>
            <w:rFonts w:ascii="Arial" w:eastAsia="Arial" w:hAnsi="Arial" w:cs="Times New Roman"/>
          </w:rPr>
          <w:t>Texas|Aggieland</w:t>
        </w:r>
        <w:proofErr w:type="spellEnd"/>
        <w:r w:rsidR="00057E8B" w:rsidRPr="002C09E8">
          <w:rPr>
            <w:rStyle w:val="Hyperlink"/>
            <w:rFonts w:ascii="Arial" w:eastAsia="Arial" w:hAnsi="Arial" w:cs="Times New Roman"/>
          </w:rPr>
          <w:t xml:space="preserve"> Credit Union</w:t>
        </w:r>
      </w:hyperlink>
      <w:r w:rsidR="00057E8B">
        <w:rPr>
          <w:rFonts w:ascii="Arial" w:eastAsia="Arial" w:hAnsi="Arial" w:cs="Times New Roman"/>
        </w:rPr>
        <w:t xml:space="preserve"> with t</w:t>
      </w:r>
      <w:r w:rsidR="002C1B2A">
        <w:rPr>
          <w:rFonts w:ascii="Arial" w:eastAsia="Arial" w:hAnsi="Arial" w:cs="Times New Roman"/>
        </w:rPr>
        <w:t>hree awards</w:t>
      </w:r>
      <w:r w:rsidR="00057E8B">
        <w:rPr>
          <w:rFonts w:ascii="Arial" w:eastAsia="Arial" w:hAnsi="Arial" w:cs="Times New Roman"/>
        </w:rPr>
        <w:t xml:space="preserve"> at its annual conference in Hollywood.</w:t>
      </w:r>
    </w:p>
    <w:p w14:paraId="057830A5" w14:textId="5771A88F" w:rsidR="002C1B2A" w:rsidRDefault="00821F97" w:rsidP="00611B44">
      <w:pPr>
        <w:spacing w:after="0" w:line="280" w:lineRule="exact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8240" behindDoc="1" locked="0" layoutInCell="1" allowOverlap="1" wp14:anchorId="744A2F04" wp14:editId="3E5C6179">
            <wp:simplePos x="0" y="0"/>
            <wp:positionH relativeFrom="column">
              <wp:posOffset>-60960</wp:posOffset>
            </wp:positionH>
            <wp:positionV relativeFrom="paragraph">
              <wp:posOffset>182245</wp:posOffset>
            </wp:positionV>
            <wp:extent cx="2804795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419" y="21472"/>
                <wp:lineTo x="21419" y="0"/>
                <wp:lineTo x="0" y="0"/>
              </wp:wrapPolygon>
            </wp:wrapTight>
            <wp:docPr id="2023345461" name="Picture 1" descr="A group of glass troph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45461" name="Picture 1" descr="A group of glass trophi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E77A" w14:textId="518B9F48" w:rsidR="002C1B2A" w:rsidRDefault="002C1B2A" w:rsidP="00611B44">
      <w:pPr>
        <w:spacing w:after="0" w:line="280" w:lineRule="exact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A gold award </w:t>
      </w:r>
      <w:r w:rsidR="00A268DC">
        <w:rPr>
          <w:rFonts w:ascii="Arial" w:eastAsia="Arial" w:hAnsi="Arial" w:cs="Times New Roman"/>
        </w:rPr>
        <w:t xml:space="preserve">honored Greater Texas’ </w:t>
      </w:r>
      <w:r>
        <w:rPr>
          <w:rFonts w:ascii="Arial" w:eastAsia="Arial" w:hAnsi="Arial" w:cs="Times New Roman"/>
        </w:rPr>
        <w:t xml:space="preserve">internal branding initiative for its newly launched </w:t>
      </w:r>
      <w:proofErr w:type="spellStart"/>
      <w:r>
        <w:rPr>
          <w:rFonts w:ascii="Arial" w:eastAsia="Arial" w:hAnsi="Arial" w:cs="Times New Roman"/>
        </w:rPr>
        <w:t>GuidePoint</w:t>
      </w:r>
      <w:proofErr w:type="spellEnd"/>
      <w:r>
        <w:rPr>
          <w:rFonts w:ascii="Arial" w:eastAsia="Arial" w:hAnsi="Arial" w:cs="Times New Roman"/>
        </w:rPr>
        <w:t xml:space="preserve"> learning platform. The system’s user interface was redesigned to help improve efficiencies </w:t>
      </w:r>
      <w:r w:rsidR="00A268DC">
        <w:rPr>
          <w:rFonts w:ascii="Arial" w:eastAsia="Arial" w:hAnsi="Arial" w:cs="Times New Roman"/>
        </w:rPr>
        <w:t xml:space="preserve">and make </w:t>
      </w:r>
      <w:r>
        <w:rPr>
          <w:rFonts w:ascii="Arial" w:eastAsia="Arial" w:hAnsi="Arial" w:cs="Times New Roman"/>
        </w:rPr>
        <w:t xml:space="preserve">it easier for employees to do their jobs. </w:t>
      </w:r>
    </w:p>
    <w:p w14:paraId="437CE6BA" w14:textId="58166AD5" w:rsidR="002C1B2A" w:rsidRDefault="002C1B2A" w:rsidP="00611B44">
      <w:pPr>
        <w:spacing w:after="0" w:line="280" w:lineRule="exact"/>
        <w:rPr>
          <w:rFonts w:ascii="Arial" w:eastAsia="Arial" w:hAnsi="Arial" w:cs="Times New Roman"/>
        </w:rPr>
      </w:pPr>
    </w:p>
    <w:p w14:paraId="40F565F2" w14:textId="0E2C6028" w:rsidR="009C1D07" w:rsidRDefault="002C1B2A" w:rsidP="00611B44">
      <w:pPr>
        <w:spacing w:after="0" w:line="280" w:lineRule="exact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Greater Texas received a second gold award for its Little Locker campaign. </w:t>
      </w:r>
      <w:r w:rsidR="009C1D07">
        <w:rPr>
          <w:rFonts w:ascii="Arial" w:eastAsia="Arial" w:hAnsi="Arial" w:cs="Times New Roman"/>
        </w:rPr>
        <w:t>The</w:t>
      </w:r>
      <w:r>
        <w:rPr>
          <w:rFonts w:ascii="Arial" w:eastAsia="Arial" w:hAnsi="Arial" w:cs="Times New Roman"/>
        </w:rPr>
        <w:t xml:space="preserve"> Little Lockers make books more accessible to students</w:t>
      </w:r>
      <w:r w:rsidR="009C1D07">
        <w:rPr>
          <w:rFonts w:ascii="Arial" w:eastAsia="Arial" w:hAnsi="Arial" w:cs="Times New Roman"/>
        </w:rPr>
        <w:t xml:space="preserve"> in </w:t>
      </w:r>
      <w:r w:rsidR="000E0725">
        <w:rPr>
          <w:rFonts w:ascii="Arial" w:eastAsia="Arial" w:hAnsi="Arial" w:cs="Times New Roman"/>
        </w:rPr>
        <w:t xml:space="preserve">three elementary schools in </w:t>
      </w:r>
      <w:r w:rsidR="009C1D07">
        <w:rPr>
          <w:rFonts w:ascii="Arial" w:eastAsia="Arial" w:hAnsi="Arial" w:cs="Times New Roman"/>
        </w:rPr>
        <w:t>the underserved community of Manor, Texas</w:t>
      </w:r>
      <w:r>
        <w:rPr>
          <w:rFonts w:ascii="Arial" w:eastAsia="Arial" w:hAnsi="Arial" w:cs="Times New Roman"/>
        </w:rPr>
        <w:t xml:space="preserve">, </w:t>
      </w:r>
      <w:r w:rsidR="009C1D07">
        <w:rPr>
          <w:rFonts w:ascii="Arial" w:eastAsia="Arial" w:hAnsi="Arial" w:cs="Times New Roman"/>
        </w:rPr>
        <w:t xml:space="preserve">to help them </w:t>
      </w:r>
      <w:r w:rsidR="00A268DC">
        <w:rPr>
          <w:rFonts w:ascii="Arial" w:eastAsia="Arial" w:hAnsi="Arial" w:cs="Times New Roman"/>
        </w:rPr>
        <w:t>strengthen their</w:t>
      </w:r>
      <w:r w:rsidR="009C1D07">
        <w:rPr>
          <w:rFonts w:ascii="Arial" w:eastAsia="Arial" w:hAnsi="Arial" w:cs="Times New Roman"/>
        </w:rPr>
        <w:t xml:space="preserve"> reading skills. Within a nine</w:t>
      </w:r>
      <w:r w:rsidR="00A268DC">
        <w:rPr>
          <w:rFonts w:ascii="Arial" w:eastAsia="Arial" w:hAnsi="Arial" w:cs="Times New Roman"/>
        </w:rPr>
        <w:t>-</w:t>
      </w:r>
      <w:r w:rsidR="009C1D07">
        <w:rPr>
          <w:rFonts w:ascii="Arial" w:eastAsia="Arial" w:hAnsi="Arial" w:cs="Times New Roman"/>
        </w:rPr>
        <w:t>month period the Little Lockers were visited more than 5,500 times, double the average access rate compared to book lockers in other communities.</w:t>
      </w:r>
    </w:p>
    <w:p w14:paraId="2BD085A1" w14:textId="299679FF" w:rsidR="002C1B2A" w:rsidRDefault="002C1B2A" w:rsidP="00611B44">
      <w:pPr>
        <w:spacing w:after="0" w:line="280" w:lineRule="exact"/>
        <w:rPr>
          <w:rFonts w:ascii="Arial" w:eastAsia="Arial" w:hAnsi="Arial" w:cs="Times New Roman"/>
        </w:rPr>
      </w:pPr>
    </w:p>
    <w:p w14:paraId="12921885" w14:textId="48D3B2E2" w:rsidR="00D63BBE" w:rsidRDefault="00D63BBE" w:rsidP="00611B44">
      <w:pPr>
        <w:spacing w:after="0" w:line="280" w:lineRule="exact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Greater Texas’ subsidiary, Aggieland Credit Union in College Station</w:t>
      </w:r>
      <w:r w:rsidR="00A268DC">
        <w:rPr>
          <w:rFonts w:ascii="Arial" w:eastAsia="Arial" w:hAnsi="Arial" w:cs="Times New Roman"/>
        </w:rPr>
        <w:t>,</w:t>
      </w:r>
      <w:r>
        <w:rPr>
          <w:rFonts w:ascii="Arial" w:eastAsia="Arial" w:hAnsi="Arial" w:cs="Times New Roman"/>
        </w:rPr>
        <w:t xml:space="preserve"> received a silver MAC award for its </w:t>
      </w:r>
      <w:hyperlink r:id="rId9" w:history="1">
        <w:r w:rsidRPr="00721A94">
          <w:rPr>
            <w:rStyle w:val="Hyperlink"/>
            <w:rFonts w:ascii="Arial" w:eastAsia="Arial" w:hAnsi="Arial" w:cs="Times New Roman"/>
          </w:rPr>
          <w:t>Anglers TV commercial</w:t>
        </w:r>
      </w:hyperlink>
      <w:r>
        <w:rPr>
          <w:rFonts w:ascii="Arial" w:eastAsia="Arial" w:hAnsi="Arial" w:cs="Times New Roman"/>
        </w:rPr>
        <w:t xml:space="preserve">. The humorous ad promoting Aggieland’s hassle-free, no-hooks checking accounts brought in more than 2,500 new accounts, 34 percent more than the campaign goal. </w:t>
      </w:r>
    </w:p>
    <w:p w14:paraId="6AAD3C84" w14:textId="77777777" w:rsidR="00D3665F" w:rsidRDefault="00D3665F" w:rsidP="00611B44">
      <w:pPr>
        <w:spacing w:after="0" w:line="280" w:lineRule="exact"/>
        <w:rPr>
          <w:rFonts w:ascii="Arial" w:eastAsia="Arial" w:hAnsi="Arial" w:cs="Times New Roman"/>
        </w:rPr>
      </w:pPr>
    </w:p>
    <w:p w14:paraId="6D7BB260" w14:textId="77777777" w:rsidR="00F23E79" w:rsidRPr="00F23E79" w:rsidRDefault="00F23E79" w:rsidP="00F23E79">
      <w:pPr>
        <w:spacing w:after="0" w:line="280" w:lineRule="exact"/>
        <w:rPr>
          <w:rFonts w:ascii="Arial" w:eastAsia="Arial" w:hAnsi="Arial" w:cs="Times New Roman"/>
        </w:rPr>
      </w:pPr>
      <w:r w:rsidRPr="00F23E79">
        <w:rPr>
          <w:rFonts w:ascii="Arial" w:eastAsia="Arial" w:hAnsi="Arial" w:cs="Times New Roman"/>
        </w:rPr>
        <w:t xml:space="preserve">“It is nice to see the team’s hard work pay off with this kind of recognition” said Sidney Henderson, Vice President of Marketing at Greater </w:t>
      </w:r>
      <w:proofErr w:type="spellStart"/>
      <w:r w:rsidRPr="00F23E79">
        <w:rPr>
          <w:rFonts w:ascii="Arial" w:eastAsia="Arial" w:hAnsi="Arial" w:cs="Times New Roman"/>
        </w:rPr>
        <w:t>Texas|Aggieland</w:t>
      </w:r>
      <w:proofErr w:type="spellEnd"/>
      <w:r w:rsidRPr="00F23E79">
        <w:rPr>
          <w:rFonts w:ascii="Arial" w:eastAsia="Arial" w:hAnsi="Arial" w:cs="Times New Roman"/>
        </w:rPr>
        <w:t xml:space="preserve"> Credit Union. “We strive to continuously deliver top-tier campaigns that help grow and position the credit union for success.”</w:t>
      </w:r>
    </w:p>
    <w:p w14:paraId="00AA0AB8" w14:textId="77777777" w:rsidR="00D7351B" w:rsidRDefault="00D7351B" w:rsidP="00F23E79">
      <w:pPr>
        <w:spacing w:after="0" w:line="280" w:lineRule="exact"/>
        <w:rPr>
          <w:rFonts w:ascii="Arial" w:eastAsia="Arial" w:hAnsi="Arial" w:cs="Times New Roman"/>
        </w:rPr>
      </w:pPr>
    </w:p>
    <w:p w14:paraId="01649966" w14:textId="77777777" w:rsidR="00512D3E" w:rsidRPr="00794E35" w:rsidRDefault="00512D3E" w:rsidP="00512D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>About Greater Texas</w:t>
      </w:r>
    </w:p>
    <w:p w14:paraId="5B20F70D" w14:textId="77777777" w:rsidR="00D7351B" w:rsidRDefault="00D7351B" w:rsidP="00D7351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0" w:history="1">
        <w:r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Pr="007E2337">
        <w:rPr>
          <w:rFonts w:ascii="Arial" w:hAnsi="Arial" w:cs="Arial"/>
          <w:bCs/>
          <w:sz w:val="20"/>
          <w:szCs w:val="20"/>
        </w:rPr>
        <w:t>,</w:t>
      </w:r>
      <w:r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>
        <w:rPr>
          <w:rFonts w:ascii="Arial" w:hAnsi="Arial" w:cs="Arial"/>
          <w:bCs/>
          <w:sz w:val="20"/>
          <w:szCs w:val="20"/>
        </w:rPr>
        <w:t>85</w:t>
      </w:r>
      <w:r w:rsidRPr="00F901B0">
        <w:rPr>
          <w:rFonts w:ascii="Arial" w:hAnsi="Arial" w:cs="Arial"/>
          <w:bCs/>
          <w:sz w:val="20"/>
          <w:szCs w:val="20"/>
        </w:rPr>
        <w:t xml:space="preserve">,000 members across the state of Texas. </w:t>
      </w:r>
      <w:r w:rsidRPr="00F901B0">
        <w:rPr>
          <w:rFonts w:ascii="Arial" w:hAnsi="Arial" w:cs="Arial"/>
          <w:bCs/>
          <w:sz w:val="20"/>
          <w:szCs w:val="20"/>
        </w:rPr>
        <w:lastRenderedPageBreak/>
        <w:t>Greater Texas has locations in Austin, Houston, San Antonio, Bryan-College Station, Edinburg, and the D</w:t>
      </w:r>
      <w:r>
        <w:rPr>
          <w:rFonts w:ascii="Arial" w:hAnsi="Arial" w:cs="Arial"/>
          <w:bCs/>
          <w:sz w:val="20"/>
          <w:szCs w:val="20"/>
        </w:rPr>
        <w:t>allas-Ft. Worth</w:t>
      </w:r>
      <w:r w:rsidRPr="00F901B0">
        <w:rPr>
          <w:rFonts w:ascii="Arial" w:hAnsi="Arial" w:cs="Arial"/>
          <w:bCs/>
          <w:sz w:val="20"/>
          <w:szCs w:val="20"/>
        </w:rPr>
        <w:t xml:space="preserve"> market with assets of nearly </w:t>
      </w:r>
      <w:r>
        <w:rPr>
          <w:rFonts w:ascii="Arial" w:hAnsi="Arial" w:cs="Arial"/>
          <w:bCs/>
          <w:sz w:val="20"/>
          <w:szCs w:val="20"/>
        </w:rPr>
        <w:t>$</w:t>
      </w:r>
      <w:r w:rsidRPr="00F901B0">
        <w:rPr>
          <w:rFonts w:ascii="Arial" w:hAnsi="Arial" w:cs="Arial"/>
          <w:bCs/>
          <w:sz w:val="20"/>
          <w:szCs w:val="20"/>
        </w:rPr>
        <w:t>1 billion.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AB2A799" w14:textId="77777777" w:rsidR="00D7351B" w:rsidRDefault="00D7351B" w:rsidP="00D7351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06D1955" w14:textId="77777777" w:rsidR="00812DA3" w:rsidRDefault="00812DA3" w:rsidP="0025623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A4ABA1" w14:textId="3F59283D" w:rsidR="002C43FB" w:rsidRPr="00512D3E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400E3199" w14:textId="4338CC9E" w:rsidR="00AF4F2A" w:rsidRDefault="00AF4F2A" w:rsidP="00BB10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FD63C2" w14:textId="17A224D7" w:rsidR="00DD4E25" w:rsidRPr="006A4E33" w:rsidRDefault="00DD4E25" w:rsidP="00BB1086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sectPr w:rsidR="00DD4E25" w:rsidRPr="006A4E33" w:rsidSect="003F2E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41DB"/>
    <w:rsid w:val="000147DE"/>
    <w:rsid w:val="00026A06"/>
    <w:rsid w:val="00036151"/>
    <w:rsid w:val="00047368"/>
    <w:rsid w:val="00057E8B"/>
    <w:rsid w:val="000819C4"/>
    <w:rsid w:val="0008408A"/>
    <w:rsid w:val="0008723D"/>
    <w:rsid w:val="00093D82"/>
    <w:rsid w:val="000A1F03"/>
    <w:rsid w:val="000B1DE9"/>
    <w:rsid w:val="000C6083"/>
    <w:rsid w:val="000C6F73"/>
    <w:rsid w:val="000D75F7"/>
    <w:rsid w:val="000E04AF"/>
    <w:rsid w:val="000E0725"/>
    <w:rsid w:val="000F1F0C"/>
    <w:rsid w:val="000F3489"/>
    <w:rsid w:val="00114420"/>
    <w:rsid w:val="00120939"/>
    <w:rsid w:val="0013223E"/>
    <w:rsid w:val="0016436D"/>
    <w:rsid w:val="001C6B0A"/>
    <w:rsid w:val="001C7D3D"/>
    <w:rsid w:val="001E3292"/>
    <w:rsid w:val="001F7079"/>
    <w:rsid w:val="00232E50"/>
    <w:rsid w:val="002373F4"/>
    <w:rsid w:val="00251722"/>
    <w:rsid w:val="00256235"/>
    <w:rsid w:val="002773CD"/>
    <w:rsid w:val="00290D23"/>
    <w:rsid w:val="002C09E8"/>
    <w:rsid w:val="002C1B2A"/>
    <w:rsid w:val="002C43FB"/>
    <w:rsid w:val="002E26CB"/>
    <w:rsid w:val="002E2B7F"/>
    <w:rsid w:val="002F2996"/>
    <w:rsid w:val="00307FCC"/>
    <w:rsid w:val="0031146D"/>
    <w:rsid w:val="0034490E"/>
    <w:rsid w:val="00352542"/>
    <w:rsid w:val="00356AF9"/>
    <w:rsid w:val="003575E6"/>
    <w:rsid w:val="00366910"/>
    <w:rsid w:val="0037366C"/>
    <w:rsid w:val="00391B40"/>
    <w:rsid w:val="00397662"/>
    <w:rsid w:val="003B3270"/>
    <w:rsid w:val="003D5A83"/>
    <w:rsid w:val="003F2E33"/>
    <w:rsid w:val="003F77CB"/>
    <w:rsid w:val="004064DA"/>
    <w:rsid w:val="00430745"/>
    <w:rsid w:val="00460E03"/>
    <w:rsid w:val="00463534"/>
    <w:rsid w:val="004D1148"/>
    <w:rsid w:val="004D398E"/>
    <w:rsid w:val="004D72C0"/>
    <w:rsid w:val="004F40E3"/>
    <w:rsid w:val="004F7C5E"/>
    <w:rsid w:val="00506566"/>
    <w:rsid w:val="00512D3E"/>
    <w:rsid w:val="00536A60"/>
    <w:rsid w:val="0053729A"/>
    <w:rsid w:val="005469B0"/>
    <w:rsid w:val="00575493"/>
    <w:rsid w:val="005B7674"/>
    <w:rsid w:val="005E4AFC"/>
    <w:rsid w:val="005E64E1"/>
    <w:rsid w:val="005F2A47"/>
    <w:rsid w:val="005F4A5F"/>
    <w:rsid w:val="005F6362"/>
    <w:rsid w:val="00600681"/>
    <w:rsid w:val="00600F58"/>
    <w:rsid w:val="00611B44"/>
    <w:rsid w:val="00656D1F"/>
    <w:rsid w:val="00682306"/>
    <w:rsid w:val="006A1459"/>
    <w:rsid w:val="006A4E33"/>
    <w:rsid w:val="006A59AF"/>
    <w:rsid w:val="006B099F"/>
    <w:rsid w:val="006C244A"/>
    <w:rsid w:val="006E42AC"/>
    <w:rsid w:val="006F4838"/>
    <w:rsid w:val="006F63E6"/>
    <w:rsid w:val="00700867"/>
    <w:rsid w:val="0071162E"/>
    <w:rsid w:val="00721A94"/>
    <w:rsid w:val="00731322"/>
    <w:rsid w:val="0073560A"/>
    <w:rsid w:val="007656F2"/>
    <w:rsid w:val="00794E35"/>
    <w:rsid w:val="007D32C0"/>
    <w:rsid w:val="0081081D"/>
    <w:rsid w:val="00812DA3"/>
    <w:rsid w:val="00821F97"/>
    <w:rsid w:val="008308EC"/>
    <w:rsid w:val="0084733B"/>
    <w:rsid w:val="00862B44"/>
    <w:rsid w:val="00891CC5"/>
    <w:rsid w:val="008A0D75"/>
    <w:rsid w:val="008C36B2"/>
    <w:rsid w:val="008C4D48"/>
    <w:rsid w:val="008F17CF"/>
    <w:rsid w:val="009407BD"/>
    <w:rsid w:val="00946AFD"/>
    <w:rsid w:val="00960D6D"/>
    <w:rsid w:val="009803FD"/>
    <w:rsid w:val="009878DD"/>
    <w:rsid w:val="00993378"/>
    <w:rsid w:val="009A2840"/>
    <w:rsid w:val="009C1D07"/>
    <w:rsid w:val="009E795E"/>
    <w:rsid w:val="00A070D9"/>
    <w:rsid w:val="00A268DC"/>
    <w:rsid w:val="00A564F4"/>
    <w:rsid w:val="00A666B9"/>
    <w:rsid w:val="00A80297"/>
    <w:rsid w:val="00A91410"/>
    <w:rsid w:val="00AA228A"/>
    <w:rsid w:val="00AA2DE5"/>
    <w:rsid w:val="00AE135C"/>
    <w:rsid w:val="00AF4F2A"/>
    <w:rsid w:val="00B05FA4"/>
    <w:rsid w:val="00B2040E"/>
    <w:rsid w:val="00B5723F"/>
    <w:rsid w:val="00B74D3F"/>
    <w:rsid w:val="00B90F28"/>
    <w:rsid w:val="00B951F6"/>
    <w:rsid w:val="00BB1086"/>
    <w:rsid w:val="00BD73EB"/>
    <w:rsid w:val="00C165AA"/>
    <w:rsid w:val="00C2004F"/>
    <w:rsid w:val="00C369E2"/>
    <w:rsid w:val="00C36F91"/>
    <w:rsid w:val="00C46436"/>
    <w:rsid w:val="00C6787D"/>
    <w:rsid w:val="00CA0B02"/>
    <w:rsid w:val="00CB7E59"/>
    <w:rsid w:val="00CE234A"/>
    <w:rsid w:val="00CE2BA0"/>
    <w:rsid w:val="00CE7DC5"/>
    <w:rsid w:val="00D00B52"/>
    <w:rsid w:val="00D065BF"/>
    <w:rsid w:val="00D15E5B"/>
    <w:rsid w:val="00D1725D"/>
    <w:rsid w:val="00D27054"/>
    <w:rsid w:val="00D3665F"/>
    <w:rsid w:val="00D51A26"/>
    <w:rsid w:val="00D63BBE"/>
    <w:rsid w:val="00D645AA"/>
    <w:rsid w:val="00D71A08"/>
    <w:rsid w:val="00D7351B"/>
    <w:rsid w:val="00D75E6C"/>
    <w:rsid w:val="00DB46A1"/>
    <w:rsid w:val="00DD4E25"/>
    <w:rsid w:val="00E00858"/>
    <w:rsid w:val="00E24371"/>
    <w:rsid w:val="00E3010B"/>
    <w:rsid w:val="00E36772"/>
    <w:rsid w:val="00E417A1"/>
    <w:rsid w:val="00E55380"/>
    <w:rsid w:val="00E8008B"/>
    <w:rsid w:val="00E823DA"/>
    <w:rsid w:val="00E85125"/>
    <w:rsid w:val="00EB499E"/>
    <w:rsid w:val="00EC1332"/>
    <w:rsid w:val="00EE1BDD"/>
    <w:rsid w:val="00EE3352"/>
    <w:rsid w:val="00F015B5"/>
    <w:rsid w:val="00F1036D"/>
    <w:rsid w:val="00F126E8"/>
    <w:rsid w:val="00F2246E"/>
    <w:rsid w:val="00F23E79"/>
    <w:rsid w:val="00F3104B"/>
    <w:rsid w:val="00F418AC"/>
    <w:rsid w:val="00F43752"/>
    <w:rsid w:val="00F44EBE"/>
    <w:rsid w:val="00F46A58"/>
    <w:rsid w:val="00F65A85"/>
    <w:rsid w:val="00FB4DC0"/>
    <w:rsid w:val="00FC0B9F"/>
    <w:rsid w:val="00FC2807"/>
    <w:rsid w:val="00FC3D1A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6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45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2A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2AC"/>
    <w:rPr>
      <w:rFonts w:ascii="Calibri" w:eastAsia="Times New Roman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57E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1B2A"/>
    <w:rPr>
      <w:b/>
      <w:bCs/>
    </w:rPr>
  </w:style>
  <w:style w:type="character" w:customStyle="1" w:styleId="normaltextrun">
    <w:name w:val="normaltextrun"/>
    <w:basedOn w:val="DefaultParagraphFont"/>
    <w:rsid w:val="002C1B2A"/>
  </w:style>
  <w:style w:type="paragraph" w:customStyle="1" w:styleId="paragraph">
    <w:name w:val="paragraph"/>
    <w:basedOn w:val="Normal"/>
    <w:rsid w:val="00D63BB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6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tfcu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tfc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8h7D0uI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EAA8-5102-4262-A706-87071E3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5</cp:revision>
  <dcterms:created xsi:type="dcterms:W3CDTF">2024-10-22T12:32:00Z</dcterms:created>
  <dcterms:modified xsi:type="dcterms:W3CDTF">2024-10-23T15:05:00Z</dcterms:modified>
</cp:coreProperties>
</file>