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7F25" w14:textId="159A822F" w:rsidR="00B945DB" w:rsidRPr="00135361" w:rsidRDefault="00347F78">
      <w:pPr>
        <w:pStyle w:val="Standard"/>
        <w:spacing w:before="120" w:after="0" w:line="240" w:lineRule="auto"/>
      </w:pPr>
      <w:r>
        <w:rPr>
          <w:b/>
          <w:sz w:val="24"/>
          <w:szCs w:val="24"/>
        </w:rPr>
        <w:br/>
      </w:r>
      <w:r>
        <w:rPr>
          <w:b/>
          <w:sz w:val="24"/>
          <w:szCs w:val="24"/>
        </w:rPr>
        <w:br/>
      </w:r>
      <w:r>
        <w:rPr>
          <w:b/>
          <w:sz w:val="24"/>
          <w:szCs w:val="24"/>
        </w:rPr>
        <w:br/>
      </w:r>
      <w:r w:rsidRPr="00135361">
        <w:rPr>
          <w:b/>
          <w:sz w:val="23"/>
          <w:szCs w:val="23"/>
        </w:rPr>
        <w:t>FOR IMMEDIATE RELEASE</w:t>
      </w:r>
      <w:r w:rsidRPr="00135361">
        <w:rPr>
          <w:b/>
          <w:sz w:val="23"/>
          <w:szCs w:val="23"/>
        </w:rPr>
        <w:br/>
      </w:r>
      <w:r w:rsidRPr="00135361">
        <w:rPr>
          <w:sz w:val="23"/>
          <w:szCs w:val="23"/>
        </w:rPr>
        <w:t>Contact: Heath Combs</w:t>
      </w:r>
      <w:hyperlink r:id="rId8" w:history="1">
        <w:r w:rsidRPr="00135361">
          <w:rPr>
            <w:color w:val="0563C1"/>
            <w:sz w:val="23"/>
            <w:szCs w:val="23"/>
            <w:u w:val="single"/>
          </w:rPr>
          <w:t xml:space="preserve"> </w:t>
        </w:r>
      </w:hyperlink>
      <w:hyperlink r:id="rId9" w:history="1">
        <w:r w:rsidRPr="00135361">
          <w:rPr>
            <w:sz w:val="23"/>
            <w:szCs w:val="23"/>
            <w:u w:val="single"/>
          </w:rPr>
          <w:br/>
        </w:r>
      </w:hyperlink>
      <w:hyperlink r:id="rId10" w:history="1">
        <w:r w:rsidRPr="00135361">
          <w:rPr>
            <w:color w:val="0563C1"/>
            <w:sz w:val="23"/>
            <w:szCs w:val="23"/>
            <w:u w:val="single"/>
          </w:rPr>
          <w:t>heath.combs@truliantfcu.org</w:t>
        </w:r>
      </w:hyperlink>
      <w:r w:rsidRPr="00135361">
        <w:rPr>
          <w:color w:val="0563C1"/>
          <w:sz w:val="23"/>
          <w:szCs w:val="23"/>
          <w:u w:val="single"/>
        </w:rPr>
        <w:br/>
      </w:r>
      <w:r w:rsidRPr="00135361">
        <w:rPr>
          <w:sz w:val="23"/>
          <w:szCs w:val="23"/>
        </w:rPr>
        <w:t xml:space="preserve">(o) 336.293.2054 </w:t>
      </w:r>
      <w:r w:rsidRPr="00135361">
        <w:rPr>
          <w:b/>
          <w:sz w:val="23"/>
          <w:szCs w:val="23"/>
        </w:rPr>
        <w:br/>
      </w:r>
    </w:p>
    <w:p w14:paraId="1B879FA9" w14:textId="72AF65FE" w:rsidR="00B945DB" w:rsidRPr="00572E13" w:rsidRDefault="00347F78" w:rsidP="00E05229">
      <w:pPr>
        <w:jc w:val="center"/>
        <w:rPr>
          <w:b/>
          <w:bCs/>
          <w:sz w:val="23"/>
          <w:szCs w:val="23"/>
        </w:rPr>
      </w:pPr>
      <w:r w:rsidRPr="00135361">
        <w:rPr>
          <w:b/>
          <w:bCs/>
          <w:sz w:val="23"/>
          <w:szCs w:val="23"/>
        </w:rPr>
        <w:t xml:space="preserve">Truliant </w:t>
      </w:r>
      <w:r w:rsidR="00A063A1" w:rsidRPr="00135361">
        <w:rPr>
          <w:b/>
          <w:bCs/>
          <w:sz w:val="23"/>
          <w:szCs w:val="23"/>
        </w:rPr>
        <w:t xml:space="preserve">Foundation </w:t>
      </w:r>
      <w:r w:rsidR="009D49F5">
        <w:rPr>
          <w:b/>
          <w:bCs/>
          <w:sz w:val="23"/>
          <w:szCs w:val="23"/>
        </w:rPr>
        <w:t xml:space="preserve">Celebrates 2024 </w:t>
      </w:r>
      <w:r w:rsidR="009D672B">
        <w:rPr>
          <w:b/>
          <w:bCs/>
          <w:sz w:val="23"/>
          <w:szCs w:val="23"/>
        </w:rPr>
        <w:t xml:space="preserve">Giving Impact </w:t>
      </w:r>
      <w:r w:rsidR="009D49F5">
        <w:rPr>
          <w:b/>
          <w:bCs/>
          <w:sz w:val="23"/>
          <w:szCs w:val="23"/>
        </w:rPr>
        <w:t xml:space="preserve"> </w:t>
      </w:r>
      <w:r w:rsidR="00E05229" w:rsidRPr="00135361">
        <w:rPr>
          <w:b/>
          <w:bCs/>
          <w:sz w:val="23"/>
          <w:szCs w:val="23"/>
        </w:rPr>
        <w:br/>
      </w:r>
    </w:p>
    <w:p w14:paraId="4EF6588E" w14:textId="37A05EAF" w:rsidR="009D49F5" w:rsidRPr="00572E13" w:rsidRDefault="00347F78" w:rsidP="009D49F5">
      <w:pPr>
        <w:rPr>
          <w:sz w:val="23"/>
          <w:szCs w:val="23"/>
        </w:rPr>
      </w:pPr>
      <w:r w:rsidRPr="00572E13">
        <w:rPr>
          <w:sz w:val="23"/>
          <w:szCs w:val="23"/>
        </w:rPr>
        <w:t>WINSTON-SALEM, N.C. (</w:t>
      </w:r>
      <w:r w:rsidR="009D49F5" w:rsidRPr="00572E13">
        <w:rPr>
          <w:sz w:val="23"/>
          <w:szCs w:val="23"/>
        </w:rPr>
        <w:t>February 2</w:t>
      </w:r>
      <w:r w:rsidR="00701542">
        <w:rPr>
          <w:sz w:val="23"/>
          <w:szCs w:val="23"/>
        </w:rPr>
        <w:t>6</w:t>
      </w:r>
      <w:r w:rsidRPr="00572E13">
        <w:rPr>
          <w:sz w:val="23"/>
          <w:szCs w:val="23"/>
        </w:rPr>
        <w:t>, 202</w:t>
      </w:r>
      <w:r w:rsidR="009D49F5" w:rsidRPr="00572E13">
        <w:rPr>
          <w:sz w:val="23"/>
          <w:szCs w:val="23"/>
        </w:rPr>
        <w:t>5</w:t>
      </w:r>
      <w:r w:rsidRPr="00572E13">
        <w:rPr>
          <w:sz w:val="23"/>
          <w:szCs w:val="23"/>
        </w:rPr>
        <w:t>)</w:t>
      </w:r>
      <w:r w:rsidR="00136463" w:rsidRPr="00572E13">
        <w:rPr>
          <w:sz w:val="23"/>
          <w:szCs w:val="23"/>
        </w:rPr>
        <w:t xml:space="preserve">—The Truliant Foundation is proud to share the significant impact its programs had </w:t>
      </w:r>
      <w:r w:rsidR="00DE4EFC" w:rsidRPr="00572E13">
        <w:rPr>
          <w:sz w:val="23"/>
          <w:szCs w:val="23"/>
        </w:rPr>
        <w:t xml:space="preserve">in 2024 </w:t>
      </w:r>
      <w:r w:rsidR="00136463" w:rsidRPr="00572E13">
        <w:rPr>
          <w:sz w:val="23"/>
          <w:szCs w:val="23"/>
        </w:rPr>
        <w:t>across the Carolinas and Virginia</w:t>
      </w:r>
      <w:r w:rsidR="00DE4EFC" w:rsidRPr="00572E13">
        <w:rPr>
          <w:sz w:val="23"/>
          <w:szCs w:val="23"/>
        </w:rPr>
        <w:t>,</w:t>
      </w:r>
      <w:r w:rsidR="00136463" w:rsidRPr="00572E13">
        <w:rPr>
          <w:sz w:val="23"/>
          <w:szCs w:val="23"/>
        </w:rPr>
        <w:t xml:space="preserve"> including </w:t>
      </w:r>
      <w:r w:rsidR="00680CD6" w:rsidRPr="00D73C2B">
        <w:rPr>
          <w:sz w:val="23"/>
          <w:szCs w:val="23"/>
        </w:rPr>
        <w:t>E</w:t>
      </w:r>
      <w:r w:rsidR="00136463" w:rsidRPr="00D73C2B">
        <w:rPr>
          <w:sz w:val="23"/>
          <w:szCs w:val="23"/>
        </w:rPr>
        <w:t xml:space="preserve">ducation </w:t>
      </w:r>
      <w:r w:rsidR="00680CD6" w:rsidRPr="00D73C2B">
        <w:rPr>
          <w:sz w:val="23"/>
          <w:szCs w:val="23"/>
        </w:rPr>
        <w:t>G</w:t>
      </w:r>
      <w:r w:rsidR="00136463" w:rsidRPr="00D73C2B">
        <w:rPr>
          <w:sz w:val="23"/>
          <w:szCs w:val="23"/>
        </w:rPr>
        <w:t xml:space="preserve">rants, </w:t>
      </w:r>
      <w:r w:rsidR="003C42A0" w:rsidRPr="00D73C2B">
        <w:rPr>
          <w:sz w:val="23"/>
          <w:szCs w:val="23"/>
        </w:rPr>
        <w:t>C</w:t>
      </w:r>
      <w:r w:rsidR="00482A3E" w:rsidRPr="00D73C2B">
        <w:rPr>
          <w:sz w:val="23"/>
          <w:szCs w:val="23"/>
        </w:rPr>
        <w:t xml:space="preserve">ommunity </w:t>
      </w:r>
      <w:r w:rsidR="003C42A0" w:rsidRPr="00D73C2B">
        <w:rPr>
          <w:sz w:val="23"/>
          <w:szCs w:val="23"/>
        </w:rPr>
        <w:t>M</w:t>
      </w:r>
      <w:r w:rsidR="00482A3E" w:rsidRPr="00D73C2B">
        <w:rPr>
          <w:sz w:val="23"/>
          <w:szCs w:val="23"/>
        </w:rPr>
        <w:t>in</w:t>
      </w:r>
      <w:r w:rsidR="00DA058C" w:rsidRPr="00D73C2B">
        <w:rPr>
          <w:sz w:val="23"/>
          <w:szCs w:val="23"/>
        </w:rPr>
        <w:t xml:space="preserve">i </w:t>
      </w:r>
      <w:r w:rsidR="003C42A0" w:rsidRPr="00D73C2B">
        <w:rPr>
          <w:sz w:val="23"/>
          <w:szCs w:val="23"/>
        </w:rPr>
        <w:t>G</w:t>
      </w:r>
      <w:r w:rsidR="00482A3E" w:rsidRPr="00D73C2B">
        <w:rPr>
          <w:sz w:val="23"/>
          <w:szCs w:val="23"/>
        </w:rPr>
        <w:t xml:space="preserve">rants, </w:t>
      </w:r>
      <w:r w:rsidR="00D73C2B">
        <w:rPr>
          <w:sz w:val="23"/>
          <w:szCs w:val="23"/>
        </w:rPr>
        <w:t>s</w:t>
      </w:r>
      <w:r w:rsidR="00136463" w:rsidRPr="00D73C2B">
        <w:rPr>
          <w:sz w:val="23"/>
          <w:szCs w:val="23"/>
        </w:rPr>
        <w:t xml:space="preserve">cholarships, </w:t>
      </w:r>
      <w:r w:rsidR="00482A3E" w:rsidRPr="00D73C2B">
        <w:rPr>
          <w:sz w:val="23"/>
          <w:szCs w:val="23"/>
        </w:rPr>
        <w:t xml:space="preserve">an </w:t>
      </w:r>
      <w:r w:rsidR="009D49F5" w:rsidRPr="00D73C2B">
        <w:rPr>
          <w:sz w:val="23"/>
          <w:szCs w:val="23"/>
        </w:rPr>
        <w:t xml:space="preserve">Employee Relief Fund, </w:t>
      </w:r>
      <w:r w:rsidR="00482A3E" w:rsidRPr="00D73C2B">
        <w:rPr>
          <w:sz w:val="23"/>
          <w:szCs w:val="23"/>
        </w:rPr>
        <w:t xml:space="preserve">charitable giving </w:t>
      </w:r>
      <w:r w:rsidR="009D49F5" w:rsidRPr="00D73C2B">
        <w:rPr>
          <w:sz w:val="23"/>
          <w:szCs w:val="23"/>
        </w:rPr>
        <w:t xml:space="preserve">and disaster relief. </w:t>
      </w:r>
    </w:p>
    <w:p w14:paraId="4834621B" w14:textId="1CA47037" w:rsidR="006A34E9" w:rsidRPr="00572E13" w:rsidRDefault="006A34E9" w:rsidP="009D49F5">
      <w:pPr>
        <w:rPr>
          <w:sz w:val="23"/>
          <w:szCs w:val="23"/>
        </w:rPr>
      </w:pPr>
    </w:p>
    <w:p w14:paraId="76D68779" w14:textId="349CECD1" w:rsidR="009916C3" w:rsidRPr="00572E13" w:rsidRDefault="006A34E9" w:rsidP="009D49F5">
      <w:pPr>
        <w:rPr>
          <w:sz w:val="23"/>
          <w:szCs w:val="23"/>
        </w:rPr>
      </w:pPr>
      <w:r w:rsidRPr="00572E13">
        <w:rPr>
          <w:sz w:val="23"/>
          <w:szCs w:val="23"/>
        </w:rPr>
        <w:t xml:space="preserve">The </w:t>
      </w:r>
      <w:r w:rsidR="00482A3E" w:rsidRPr="00572E13">
        <w:rPr>
          <w:sz w:val="23"/>
          <w:szCs w:val="23"/>
        </w:rPr>
        <w:t>F</w:t>
      </w:r>
      <w:r w:rsidRPr="00572E13">
        <w:rPr>
          <w:sz w:val="23"/>
          <w:szCs w:val="23"/>
        </w:rPr>
        <w:t>oundation supports Truliant Federal Credit Union’s commitment to</w:t>
      </w:r>
      <w:r w:rsidR="0059659A" w:rsidRPr="00572E13">
        <w:rPr>
          <w:sz w:val="23"/>
          <w:szCs w:val="23"/>
        </w:rPr>
        <w:t xml:space="preserve"> its</w:t>
      </w:r>
      <w:r w:rsidRPr="00572E13">
        <w:rPr>
          <w:sz w:val="23"/>
          <w:szCs w:val="23"/>
        </w:rPr>
        <w:t xml:space="preserve"> </w:t>
      </w:r>
      <w:r w:rsidR="0059659A" w:rsidRPr="00572E13">
        <w:rPr>
          <w:sz w:val="23"/>
          <w:szCs w:val="23"/>
        </w:rPr>
        <w:t xml:space="preserve">member </w:t>
      </w:r>
      <w:r w:rsidRPr="00572E13">
        <w:rPr>
          <w:sz w:val="23"/>
          <w:szCs w:val="23"/>
        </w:rPr>
        <w:t>communit</w:t>
      </w:r>
      <w:r w:rsidR="0059659A" w:rsidRPr="00572E13">
        <w:rPr>
          <w:sz w:val="23"/>
          <w:szCs w:val="23"/>
        </w:rPr>
        <w:t>ies</w:t>
      </w:r>
      <w:r w:rsidRPr="00572E13">
        <w:rPr>
          <w:sz w:val="23"/>
          <w:szCs w:val="23"/>
        </w:rPr>
        <w:t xml:space="preserve"> and its social responsibility to give back to the neighbors it serves. </w:t>
      </w:r>
      <w:r w:rsidR="009D49F5" w:rsidRPr="00572E13">
        <w:rPr>
          <w:sz w:val="23"/>
          <w:szCs w:val="23"/>
        </w:rPr>
        <w:t xml:space="preserve">Last year, the Truliant Foundation </w:t>
      </w:r>
      <w:r w:rsidR="00482A3E" w:rsidRPr="00572E13">
        <w:rPr>
          <w:sz w:val="23"/>
          <w:szCs w:val="23"/>
        </w:rPr>
        <w:t xml:space="preserve">awarded </w:t>
      </w:r>
      <w:r w:rsidR="009D49F5" w:rsidRPr="00572E13">
        <w:rPr>
          <w:sz w:val="23"/>
          <w:szCs w:val="23"/>
        </w:rPr>
        <w:t xml:space="preserve">$534,400 to more than 100 organizations, 64% of which serve low-income communities and 69% </w:t>
      </w:r>
      <w:r w:rsidR="003C42A0">
        <w:rPr>
          <w:sz w:val="23"/>
          <w:szCs w:val="23"/>
        </w:rPr>
        <w:t xml:space="preserve">of </w:t>
      </w:r>
      <w:r w:rsidR="00482A3E" w:rsidRPr="00572E13">
        <w:rPr>
          <w:sz w:val="23"/>
          <w:szCs w:val="23"/>
        </w:rPr>
        <w:t xml:space="preserve">which </w:t>
      </w:r>
      <w:r w:rsidR="009D49F5" w:rsidRPr="00572E13">
        <w:rPr>
          <w:sz w:val="23"/>
          <w:szCs w:val="23"/>
        </w:rPr>
        <w:t xml:space="preserve">are minority-led. </w:t>
      </w:r>
    </w:p>
    <w:p w14:paraId="0E257D7F" w14:textId="4F4C26EF" w:rsidR="00FA62B9" w:rsidRPr="00572E13" w:rsidRDefault="00FA62B9" w:rsidP="009D49F5">
      <w:pPr>
        <w:rPr>
          <w:sz w:val="23"/>
          <w:szCs w:val="23"/>
        </w:rPr>
      </w:pPr>
    </w:p>
    <w:p w14:paraId="5BB029C2" w14:textId="0B0BFB1F" w:rsidR="009D49F5" w:rsidRPr="00572E13" w:rsidRDefault="00FA62B9" w:rsidP="009D49F5">
      <w:pPr>
        <w:rPr>
          <w:sz w:val="23"/>
          <w:szCs w:val="23"/>
        </w:rPr>
      </w:pPr>
      <w:r w:rsidRPr="00572E13">
        <w:rPr>
          <w:sz w:val="23"/>
          <w:szCs w:val="23"/>
        </w:rPr>
        <w:t xml:space="preserve">"The Truliant Foundation </w:t>
      </w:r>
      <w:r w:rsidR="003E232B" w:rsidRPr="00572E13">
        <w:rPr>
          <w:sz w:val="23"/>
          <w:szCs w:val="23"/>
        </w:rPr>
        <w:t xml:space="preserve">continued playing a meaningful role </w:t>
      </w:r>
      <w:r w:rsidRPr="00572E13">
        <w:rPr>
          <w:sz w:val="23"/>
          <w:szCs w:val="23"/>
        </w:rPr>
        <w:t>by support</w:t>
      </w:r>
      <w:r w:rsidR="003E232B" w:rsidRPr="00572E13">
        <w:rPr>
          <w:sz w:val="23"/>
          <w:szCs w:val="23"/>
        </w:rPr>
        <w:t>ing</w:t>
      </w:r>
      <w:r w:rsidRPr="00572E13">
        <w:rPr>
          <w:sz w:val="23"/>
          <w:szCs w:val="23"/>
        </w:rPr>
        <w:t xml:space="preserve"> vulnerable populations, </w:t>
      </w:r>
      <w:r w:rsidR="00BD43C6" w:rsidRPr="00572E13">
        <w:rPr>
          <w:sz w:val="23"/>
          <w:szCs w:val="23"/>
        </w:rPr>
        <w:t xml:space="preserve">rewarding achievement, </w:t>
      </w:r>
      <w:r w:rsidR="003E232B" w:rsidRPr="00572E13">
        <w:rPr>
          <w:sz w:val="23"/>
          <w:szCs w:val="23"/>
        </w:rPr>
        <w:t>engaging leaders, and stepping up during</w:t>
      </w:r>
      <w:r w:rsidRPr="00572E13">
        <w:rPr>
          <w:sz w:val="23"/>
          <w:szCs w:val="23"/>
        </w:rPr>
        <w:t xml:space="preserve"> times of crisis</w:t>
      </w:r>
      <w:r w:rsidR="00482A3E" w:rsidRPr="00572E13">
        <w:rPr>
          <w:sz w:val="23"/>
          <w:szCs w:val="23"/>
        </w:rPr>
        <w:t xml:space="preserve"> in 2024</w:t>
      </w:r>
      <w:r w:rsidRPr="00572E13">
        <w:rPr>
          <w:sz w:val="23"/>
          <w:szCs w:val="23"/>
        </w:rPr>
        <w:t>,” said Atticus Simpson, executive director of the Truliant Foundation.</w:t>
      </w:r>
      <w:r w:rsidR="003E232B" w:rsidRPr="00572E13">
        <w:rPr>
          <w:sz w:val="23"/>
          <w:szCs w:val="23"/>
        </w:rPr>
        <w:t xml:space="preserve"> “Our commitment to the ‘people helping people’ philosophy </w:t>
      </w:r>
      <w:r w:rsidR="00BD43C6" w:rsidRPr="00572E13">
        <w:rPr>
          <w:sz w:val="23"/>
          <w:szCs w:val="23"/>
        </w:rPr>
        <w:t xml:space="preserve">of credit unions is at the heart of </w:t>
      </w:r>
      <w:r w:rsidR="00225C44" w:rsidRPr="00572E13">
        <w:rPr>
          <w:sz w:val="23"/>
          <w:szCs w:val="23"/>
        </w:rPr>
        <w:t>all we do</w:t>
      </w:r>
      <w:r w:rsidR="00701542">
        <w:rPr>
          <w:sz w:val="23"/>
          <w:szCs w:val="23"/>
        </w:rPr>
        <w:t>.</w:t>
      </w:r>
      <w:r w:rsidR="00482A3E" w:rsidRPr="00572E13">
        <w:rPr>
          <w:sz w:val="23"/>
          <w:szCs w:val="23"/>
        </w:rPr>
        <w:t xml:space="preserve"> </w:t>
      </w:r>
      <w:r w:rsidR="00701542">
        <w:rPr>
          <w:sz w:val="23"/>
          <w:szCs w:val="23"/>
        </w:rPr>
        <w:t>W</w:t>
      </w:r>
      <w:r w:rsidR="00482A3E" w:rsidRPr="00572E13">
        <w:rPr>
          <w:sz w:val="23"/>
          <w:szCs w:val="23"/>
        </w:rPr>
        <w:t>e are deeply appreciative of the people who helped us help others</w:t>
      </w:r>
      <w:r w:rsidR="003F0C22" w:rsidRPr="00572E13">
        <w:rPr>
          <w:sz w:val="23"/>
          <w:szCs w:val="23"/>
        </w:rPr>
        <w:t xml:space="preserve"> through contributions of time and money</w:t>
      </w:r>
      <w:r w:rsidR="00BD43C6" w:rsidRPr="00572E13">
        <w:rPr>
          <w:sz w:val="23"/>
          <w:szCs w:val="23"/>
        </w:rPr>
        <w:t xml:space="preserve">.” </w:t>
      </w:r>
      <w:r w:rsidR="009D49F5" w:rsidRPr="00572E13">
        <w:rPr>
          <w:sz w:val="23"/>
          <w:szCs w:val="23"/>
        </w:rPr>
        <w:br/>
      </w:r>
    </w:p>
    <w:p w14:paraId="748EB4EE" w14:textId="646409AF" w:rsidR="009D49F5" w:rsidRPr="00572E13" w:rsidRDefault="006A34E9" w:rsidP="009D49F5">
      <w:pPr>
        <w:rPr>
          <w:sz w:val="23"/>
          <w:szCs w:val="23"/>
        </w:rPr>
      </w:pPr>
      <w:r w:rsidRPr="00572E13">
        <w:rPr>
          <w:sz w:val="23"/>
          <w:szCs w:val="23"/>
        </w:rPr>
        <w:t xml:space="preserve">Through </w:t>
      </w:r>
      <w:r w:rsidR="00482A3E" w:rsidRPr="00572E13">
        <w:rPr>
          <w:sz w:val="23"/>
          <w:szCs w:val="23"/>
        </w:rPr>
        <w:t xml:space="preserve">the Foundation’s </w:t>
      </w:r>
      <w:r w:rsidRPr="00572E13">
        <w:rPr>
          <w:sz w:val="23"/>
          <w:szCs w:val="23"/>
        </w:rPr>
        <w:t>Employee Volunteer Program,</w:t>
      </w:r>
      <w:r w:rsidR="00482A3E" w:rsidRPr="00572E13">
        <w:rPr>
          <w:sz w:val="23"/>
          <w:szCs w:val="23"/>
        </w:rPr>
        <w:t xml:space="preserve"> Truliant employees contributed nearly 850 work hours supporting nonprofit organizations and schools. </w:t>
      </w:r>
      <w:r w:rsidRPr="00572E13">
        <w:rPr>
          <w:sz w:val="23"/>
          <w:szCs w:val="23"/>
        </w:rPr>
        <w:t xml:space="preserve">The Foundation </w:t>
      </w:r>
      <w:r w:rsidR="009D49F5" w:rsidRPr="00572E13">
        <w:rPr>
          <w:sz w:val="23"/>
          <w:szCs w:val="23"/>
        </w:rPr>
        <w:t xml:space="preserve">distributed </w:t>
      </w:r>
      <w:r w:rsidR="00482A3E" w:rsidRPr="00572E13">
        <w:rPr>
          <w:sz w:val="23"/>
          <w:szCs w:val="23"/>
        </w:rPr>
        <w:t xml:space="preserve">$45,000 in </w:t>
      </w:r>
      <w:r w:rsidR="009D49F5" w:rsidRPr="00572E13">
        <w:rPr>
          <w:sz w:val="23"/>
          <w:szCs w:val="23"/>
        </w:rPr>
        <w:t xml:space="preserve">Education Grants to </w:t>
      </w:r>
      <w:r w:rsidR="00482A3E" w:rsidRPr="00572E13">
        <w:rPr>
          <w:sz w:val="23"/>
          <w:szCs w:val="23"/>
        </w:rPr>
        <w:t xml:space="preserve">14 </w:t>
      </w:r>
      <w:r w:rsidR="009D49F5" w:rsidRPr="00572E13">
        <w:rPr>
          <w:sz w:val="23"/>
          <w:szCs w:val="23"/>
        </w:rPr>
        <w:t xml:space="preserve">public schools </w:t>
      </w:r>
      <w:r w:rsidRPr="00572E13">
        <w:rPr>
          <w:sz w:val="23"/>
          <w:szCs w:val="23"/>
        </w:rPr>
        <w:t>in the Carolinas and Virginia</w:t>
      </w:r>
      <w:r w:rsidR="00DE4EFC" w:rsidRPr="00572E13">
        <w:rPr>
          <w:sz w:val="23"/>
          <w:szCs w:val="23"/>
        </w:rPr>
        <w:t xml:space="preserve"> and</w:t>
      </w:r>
      <w:r w:rsidRPr="00572E13">
        <w:rPr>
          <w:sz w:val="23"/>
          <w:szCs w:val="23"/>
        </w:rPr>
        <w:t xml:space="preserve"> </w:t>
      </w:r>
      <w:r w:rsidR="009D49F5" w:rsidRPr="00D73C2B">
        <w:rPr>
          <w:sz w:val="23"/>
          <w:szCs w:val="23"/>
        </w:rPr>
        <w:t xml:space="preserve">awarded 20 scholarships to Truliant members or </w:t>
      </w:r>
      <w:r w:rsidRPr="00D73C2B">
        <w:rPr>
          <w:sz w:val="23"/>
          <w:szCs w:val="23"/>
        </w:rPr>
        <w:t xml:space="preserve">their </w:t>
      </w:r>
      <w:r w:rsidR="009D49F5" w:rsidRPr="00D73C2B">
        <w:rPr>
          <w:sz w:val="23"/>
          <w:szCs w:val="23"/>
        </w:rPr>
        <w:t>dependent</w:t>
      </w:r>
      <w:r w:rsidRPr="00D73C2B">
        <w:rPr>
          <w:sz w:val="23"/>
          <w:szCs w:val="23"/>
        </w:rPr>
        <w:t>s</w:t>
      </w:r>
      <w:r w:rsidR="00482A3E" w:rsidRPr="00572E13">
        <w:rPr>
          <w:sz w:val="23"/>
          <w:szCs w:val="23"/>
        </w:rPr>
        <w:t xml:space="preserve"> enrolling in college for the first time</w:t>
      </w:r>
      <w:r w:rsidRPr="00572E13">
        <w:rPr>
          <w:sz w:val="23"/>
          <w:szCs w:val="23"/>
        </w:rPr>
        <w:t>.</w:t>
      </w:r>
      <w:r w:rsidR="009D49F5" w:rsidRPr="00572E13">
        <w:rPr>
          <w:sz w:val="23"/>
          <w:szCs w:val="23"/>
        </w:rPr>
        <w:t xml:space="preserve"> </w:t>
      </w:r>
    </w:p>
    <w:p w14:paraId="5F61488A" w14:textId="77777777" w:rsidR="009D49F5" w:rsidRPr="00572E13" w:rsidRDefault="009D49F5" w:rsidP="009D49F5">
      <w:pPr>
        <w:rPr>
          <w:sz w:val="23"/>
          <w:szCs w:val="23"/>
        </w:rPr>
      </w:pPr>
    </w:p>
    <w:p w14:paraId="60FDD12E" w14:textId="2A53608B" w:rsidR="006A34E9" w:rsidRPr="00572E13" w:rsidRDefault="003C42A0" w:rsidP="009D49F5">
      <w:pPr>
        <w:rPr>
          <w:sz w:val="23"/>
          <w:szCs w:val="23"/>
        </w:rPr>
      </w:pPr>
      <w:r>
        <w:rPr>
          <w:sz w:val="23"/>
          <w:szCs w:val="23"/>
        </w:rPr>
        <w:t>In 2024, more than $15,000 in hardship assistance was given to employees through the Truliant Foundation’s Employee Relief Fund, which</w:t>
      </w:r>
      <w:r w:rsidR="00482A3E" w:rsidRPr="00572E13">
        <w:rPr>
          <w:sz w:val="23"/>
          <w:szCs w:val="23"/>
        </w:rPr>
        <w:t xml:space="preserve"> is supported by 100% of Truliant’s senior leadership team. </w:t>
      </w:r>
      <w:r w:rsidR="009D46B8" w:rsidRPr="00572E13">
        <w:rPr>
          <w:sz w:val="23"/>
          <w:szCs w:val="23"/>
        </w:rPr>
        <w:t xml:space="preserve">Through </w:t>
      </w:r>
      <w:r w:rsidR="00BD43C6" w:rsidRPr="00572E13">
        <w:rPr>
          <w:sz w:val="23"/>
          <w:szCs w:val="23"/>
        </w:rPr>
        <w:t xml:space="preserve">a </w:t>
      </w:r>
      <w:r w:rsidR="006A34E9" w:rsidRPr="00572E13">
        <w:rPr>
          <w:sz w:val="23"/>
          <w:szCs w:val="23"/>
        </w:rPr>
        <w:t xml:space="preserve">long-running initiative, </w:t>
      </w:r>
      <w:r w:rsidR="006A34E9" w:rsidRPr="00D73C2B">
        <w:rPr>
          <w:sz w:val="23"/>
          <w:szCs w:val="23"/>
        </w:rPr>
        <w:t>the Foundation awarded $45,000 in Community Mini Grant</w:t>
      </w:r>
      <w:r w:rsidR="006A34E9" w:rsidRPr="00572E13">
        <w:rPr>
          <w:sz w:val="23"/>
          <w:szCs w:val="23"/>
        </w:rPr>
        <w:t xml:space="preserve"> funds to 30 nonprofit organizations </w:t>
      </w:r>
      <w:r w:rsidR="00BD43C6" w:rsidRPr="00572E13">
        <w:rPr>
          <w:sz w:val="23"/>
          <w:szCs w:val="23"/>
        </w:rPr>
        <w:t xml:space="preserve">to support </w:t>
      </w:r>
      <w:r w:rsidR="00E11EAD" w:rsidRPr="00572E13">
        <w:rPr>
          <w:sz w:val="23"/>
          <w:szCs w:val="23"/>
        </w:rPr>
        <w:t>capacity-building</w:t>
      </w:r>
      <w:r w:rsidR="00BD43C6" w:rsidRPr="00572E13">
        <w:rPr>
          <w:sz w:val="23"/>
          <w:szCs w:val="23"/>
        </w:rPr>
        <w:t xml:space="preserve"> activities</w:t>
      </w:r>
      <w:r w:rsidR="00482A3E" w:rsidRPr="00572E13">
        <w:rPr>
          <w:sz w:val="23"/>
          <w:szCs w:val="23"/>
        </w:rPr>
        <w:t xml:space="preserve"> across Truliant’s footprint</w:t>
      </w:r>
      <w:r w:rsidR="00BD43C6" w:rsidRPr="00572E13">
        <w:rPr>
          <w:sz w:val="23"/>
          <w:szCs w:val="23"/>
        </w:rPr>
        <w:t xml:space="preserve">. </w:t>
      </w:r>
    </w:p>
    <w:p w14:paraId="2F9E5096" w14:textId="177DEB38" w:rsidR="00BD43C6" w:rsidRPr="00572E13" w:rsidRDefault="009D49F5" w:rsidP="001021E3">
      <w:pPr>
        <w:rPr>
          <w:sz w:val="23"/>
          <w:szCs w:val="23"/>
        </w:rPr>
      </w:pPr>
      <w:r w:rsidRPr="00572E13">
        <w:rPr>
          <w:sz w:val="23"/>
          <w:szCs w:val="23"/>
        </w:rPr>
        <w:br/>
      </w:r>
      <w:r w:rsidR="00E11EAD" w:rsidRPr="00572E13">
        <w:rPr>
          <w:sz w:val="23"/>
          <w:szCs w:val="23"/>
        </w:rPr>
        <w:t xml:space="preserve">The year 2024 </w:t>
      </w:r>
      <w:r w:rsidRPr="00572E13">
        <w:rPr>
          <w:sz w:val="23"/>
          <w:szCs w:val="23"/>
        </w:rPr>
        <w:t>marked several firsts for the Truliant Foundation, including</w:t>
      </w:r>
      <w:r w:rsidR="006A34E9" w:rsidRPr="00572E13">
        <w:rPr>
          <w:sz w:val="23"/>
          <w:szCs w:val="23"/>
        </w:rPr>
        <w:t xml:space="preserve"> a significant</w:t>
      </w:r>
      <w:r w:rsidRPr="00572E13">
        <w:rPr>
          <w:sz w:val="23"/>
          <w:szCs w:val="23"/>
        </w:rPr>
        <w:t xml:space="preserve"> respon</w:t>
      </w:r>
      <w:r w:rsidR="006A34E9" w:rsidRPr="00572E13">
        <w:rPr>
          <w:sz w:val="23"/>
          <w:szCs w:val="23"/>
        </w:rPr>
        <w:t>se</w:t>
      </w:r>
      <w:r w:rsidRPr="00572E13">
        <w:rPr>
          <w:sz w:val="23"/>
          <w:szCs w:val="23"/>
        </w:rPr>
        <w:t xml:space="preserve"> to </w:t>
      </w:r>
      <w:r w:rsidR="00E11EAD" w:rsidRPr="00572E13">
        <w:rPr>
          <w:sz w:val="23"/>
          <w:szCs w:val="23"/>
        </w:rPr>
        <w:t>Hurricane Helene's devastation in member communities. Efforts included supporting</w:t>
      </w:r>
      <w:r w:rsidRPr="00572E13">
        <w:rPr>
          <w:sz w:val="23"/>
          <w:szCs w:val="23"/>
        </w:rPr>
        <w:t xml:space="preserve"> the Carolinas Credit Union Foundation Disaster Relief Fund, the League of Southeastern Credit Unions Disaster Relief Fund, and the Winston-Salem Police Department Foundation. </w:t>
      </w:r>
    </w:p>
    <w:p w14:paraId="25ECCEC8" w14:textId="77777777" w:rsidR="00BD43C6" w:rsidRPr="00572E13" w:rsidRDefault="00BD43C6" w:rsidP="001021E3">
      <w:pPr>
        <w:rPr>
          <w:sz w:val="23"/>
          <w:szCs w:val="23"/>
        </w:rPr>
      </w:pPr>
    </w:p>
    <w:p w14:paraId="51A6A29F" w14:textId="5B97F7EB" w:rsidR="003F0C22" w:rsidRPr="00572E13" w:rsidRDefault="001021E3" w:rsidP="001021E3">
      <w:pPr>
        <w:rPr>
          <w:sz w:val="23"/>
          <w:szCs w:val="23"/>
        </w:rPr>
      </w:pPr>
      <w:r w:rsidRPr="00572E13">
        <w:rPr>
          <w:sz w:val="23"/>
          <w:szCs w:val="23"/>
        </w:rPr>
        <w:lastRenderedPageBreak/>
        <w:t>Thi</w:t>
      </w:r>
      <w:r w:rsidR="00482A3E" w:rsidRPr="00572E13">
        <w:rPr>
          <w:sz w:val="23"/>
          <w:szCs w:val="23"/>
        </w:rPr>
        <w:t xml:space="preserve">s </w:t>
      </w:r>
      <w:r w:rsidR="00DA058C" w:rsidRPr="00572E13">
        <w:rPr>
          <w:sz w:val="23"/>
          <w:szCs w:val="23"/>
        </w:rPr>
        <w:t xml:space="preserve">response </w:t>
      </w:r>
      <w:r w:rsidRPr="00572E13">
        <w:rPr>
          <w:sz w:val="23"/>
          <w:szCs w:val="23"/>
        </w:rPr>
        <w:t xml:space="preserve">culminated in a </w:t>
      </w:r>
      <w:r w:rsidR="00482A3E" w:rsidRPr="00572E13">
        <w:rPr>
          <w:sz w:val="23"/>
          <w:szCs w:val="23"/>
        </w:rPr>
        <w:t xml:space="preserve">partnership with Truliant Federal Credit Union to conduct a </w:t>
      </w:r>
      <w:r w:rsidRPr="00572E13">
        <w:rPr>
          <w:sz w:val="23"/>
          <w:szCs w:val="23"/>
        </w:rPr>
        <w:t xml:space="preserve">matching funds campaign </w:t>
      </w:r>
      <w:r w:rsidR="00E11EAD" w:rsidRPr="00572E13">
        <w:rPr>
          <w:sz w:val="23"/>
          <w:szCs w:val="23"/>
        </w:rPr>
        <w:t xml:space="preserve">in December 2024, </w:t>
      </w:r>
      <w:r w:rsidR="00E11EAD" w:rsidRPr="00D73C2B">
        <w:rPr>
          <w:sz w:val="23"/>
          <w:szCs w:val="23"/>
        </w:rPr>
        <w:t>which led to a $64,000 gift to provide gift cards and essential goods</w:t>
      </w:r>
      <w:r w:rsidR="00E11EAD" w:rsidRPr="00572E13">
        <w:rPr>
          <w:sz w:val="23"/>
          <w:szCs w:val="23"/>
        </w:rPr>
        <w:t xml:space="preserve">, contributing to more than $125,000 </w:t>
      </w:r>
      <w:r w:rsidRPr="00572E13">
        <w:rPr>
          <w:sz w:val="23"/>
          <w:szCs w:val="23"/>
        </w:rPr>
        <w:t>to support</w:t>
      </w:r>
      <w:r w:rsidR="00BD43C6" w:rsidRPr="00572E13">
        <w:rPr>
          <w:sz w:val="23"/>
          <w:szCs w:val="23"/>
        </w:rPr>
        <w:t xml:space="preserve"> Helene</w:t>
      </w:r>
      <w:r w:rsidRPr="00572E13">
        <w:rPr>
          <w:sz w:val="23"/>
          <w:szCs w:val="23"/>
        </w:rPr>
        <w:t xml:space="preserve"> recovery efforts. </w:t>
      </w:r>
      <w:r w:rsidR="003F0C22" w:rsidRPr="00572E13">
        <w:rPr>
          <w:sz w:val="23"/>
          <w:szCs w:val="23"/>
        </w:rPr>
        <w:t>Nearly 200</w:t>
      </w:r>
      <w:r w:rsidR="00F8257E" w:rsidRPr="00572E13">
        <w:rPr>
          <w:sz w:val="23"/>
          <w:szCs w:val="23"/>
        </w:rPr>
        <w:t xml:space="preserve"> </w:t>
      </w:r>
      <w:r w:rsidR="003F0C22" w:rsidRPr="00572E13">
        <w:rPr>
          <w:sz w:val="23"/>
          <w:szCs w:val="23"/>
        </w:rPr>
        <w:t xml:space="preserve">individuals made contributions to the Foundation to support the effort.  </w:t>
      </w:r>
    </w:p>
    <w:p w14:paraId="42ABC397" w14:textId="4074E015" w:rsidR="00CF02CC" w:rsidRPr="00135361" w:rsidRDefault="00CF02CC" w:rsidP="00E05229">
      <w:pPr>
        <w:rPr>
          <w:sz w:val="23"/>
          <w:szCs w:val="23"/>
        </w:rPr>
      </w:pPr>
    </w:p>
    <w:p w14:paraId="04DF2572" w14:textId="5F97BDCE" w:rsidR="00B945DB" w:rsidRPr="00135361" w:rsidRDefault="00347F78" w:rsidP="00E05229">
      <w:pPr>
        <w:rPr>
          <w:sz w:val="23"/>
          <w:szCs w:val="23"/>
        </w:rPr>
      </w:pPr>
      <w:r w:rsidRPr="00135361">
        <w:rPr>
          <w:b/>
          <w:bCs/>
          <w:sz w:val="23"/>
          <w:szCs w:val="23"/>
          <w:u w:val="single"/>
        </w:rPr>
        <w:t>About The Truliant Foundation</w:t>
      </w:r>
      <w:r w:rsidRPr="00135361">
        <w:rPr>
          <w:sz w:val="23"/>
          <w:szCs w:val="23"/>
        </w:rPr>
        <w:br/>
      </w:r>
      <w:r w:rsidR="009D49F5">
        <w:rPr>
          <w:sz w:val="23"/>
          <w:szCs w:val="23"/>
        </w:rPr>
        <w:t xml:space="preserve">The Truliant Foundation, an independent 501(c)(3) organization, supports Truliant Federal Credit Union’s commitment to community and its social responsibility to give back to the neighbors it serves. Through charitable giving and programs, the Foundation supports nonprofit community partners working to enhance the </w:t>
      </w:r>
      <w:r w:rsidR="000113B9">
        <w:rPr>
          <w:sz w:val="23"/>
          <w:szCs w:val="23"/>
        </w:rPr>
        <w:t>quality</w:t>
      </w:r>
      <w:r w:rsidR="009D49F5">
        <w:rPr>
          <w:sz w:val="23"/>
          <w:szCs w:val="23"/>
        </w:rPr>
        <w:t xml:space="preserve"> of life in member communities. Donations to the Foundation are </w:t>
      </w:r>
      <w:r w:rsidR="000113B9">
        <w:rPr>
          <w:sz w:val="23"/>
          <w:szCs w:val="23"/>
        </w:rPr>
        <w:t>tax-deductible</w:t>
      </w:r>
      <w:r w:rsidR="009D49F5">
        <w:rPr>
          <w:sz w:val="23"/>
          <w:szCs w:val="23"/>
        </w:rPr>
        <w:t xml:space="preserve">. </w:t>
      </w:r>
      <w:r w:rsidRPr="00135361">
        <w:rPr>
          <w:sz w:val="23"/>
          <w:szCs w:val="23"/>
        </w:rPr>
        <w:t xml:space="preserve">To learn more or give, visit </w:t>
      </w:r>
      <w:hyperlink r:id="rId11" w:history="1">
        <w:r w:rsidRPr="00135361">
          <w:rPr>
            <w:rStyle w:val="Hyperlink"/>
            <w:sz w:val="23"/>
            <w:szCs w:val="23"/>
          </w:rPr>
          <w:t>www.truliant.org/Foundation</w:t>
        </w:r>
      </w:hyperlink>
      <w:r w:rsidRPr="00135361">
        <w:rPr>
          <w:sz w:val="23"/>
          <w:szCs w:val="23"/>
        </w:rPr>
        <w:t>.</w:t>
      </w:r>
      <w:r w:rsidR="00CF02CC" w:rsidRPr="00135361">
        <w:rPr>
          <w:sz w:val="23"/>
          <w:szCs w:val="23"/>
        </w:rPr>
        <w:br/>
      </w:r>
    </w:p>
    <w:sectPr w:rsidR="00B945DB" w:rsidRPr="00135361" w:rsidSect="00DE4EFC">
      <w:headerReference w:type="default" r:id="rId12"/>
      <w:headerReference w:type="first" r:id="rId13"/>
      <w:pgSz w:w="12240" w:h="15840"/>
      <w:pgMar w:top="1440" w:right="1800" w:bottom="1440" w:left="180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5573" w14:textId="77777777" w:rsidR="00CB5DC4" w:rsidRDefault="00CB5DC4">
      <w:r>
        <w:separator/>
      </w:r>
    </w:p>
  </w:endnote>
  <w:endnote w:type="continuationSeparator" w:id="0">
    <w:p w14:paraId="1EBD64E4" w14:textId="77777777" w:rsidR="00CB5DC4" w:rsidRDefault="00CB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73BE" w14:textId="77777777" w:rsidR="00CB5DC4" w:rsidRDefault="00CB5DC4">
      <w:r>
        <w:rPr>
          <w:color w:val="000000"/>
        </w:rPr>
        <w:separator/>
      </w:r>
    </w:p>
  </w:footnote>
  <w:footnote w:type="continuationSeparator" w:id="0">
    <w:p w14:paraId="2FF64D70" w14:textId="77777777" w:rsidR="00CB5DC4" w:rsidRDefault="00CB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D0ED" w14:textId="77777777" w:rsidR="00AD08D4" w:rsidRDefault="00CB5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8AD8" w14:textId="77777777" w:rsidR="00AD08D4" w:rsidRDefault="00347F78">
    <w:pPr>
      <w:pStyle w:val="Standard"/>
      <w:tabs>
        <w:tab w:val="center" w:pos="4680"/>
        <w:tab w:val="right" w:pos="9360"/>
      </w:tabs>
      <w:spacing w:after="0" w:line="240" w:lineRule="auto"/>
    </w:pPr>
    <w:r>
      <w:rPr>
        <w:noProof/>
        <w:color w:val="000000"/>
        <w:sz w:val="24"/>
        <w:szCs w:val="24"/>
      </w:rPr>
      <w:drawing>
        <wp:anchor distT="0" distB="0" distL="114300" distR="114300" simplePos="0" relativeHeight="251659264" behindDoc="1" locked="0" layoutInCell="1" allowOverlap="1" wp14:anchorId="3942DF51" wp14:editId="557E018A">
          <wp:simplePos x="0" y="0"/>
          <wp:positionH relativeFrom="page">
            <wp:posOffset>731</wp:posOffset>
          </wp:positionH>
          <wp:positionV relativeFrom="page">
            <wp:posOffset>33101</wp:posOffset>
          </wp:positionV>
          <wp:extent cx="6729801" cy="2322393"/>
          <wp:effectExtent l="0" t="0" r="0" b="1707"/>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29801" cy="232239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7866"/>
    <w:multiLevelType w:val="hybridMultilevel"/>
    <w:tmpl w:val="544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F75C6"/>
    <w:multiLevelType w:val="multilevel"/>
    <w:tmpl w:val="18DE6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37452D4"/>
    <w:multiLevelType w:val="hybridMultilevel"/>
    <w:tmpl w:val="09126C00"/>
    <w:lvl w:ilvl="0" w:tplc="506A50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1581E"/>
    <w:multiLevelType w:val="multilevel"/>
    <w:tmpl w:val="7E4A699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DB"/>
    <w:rsid w:val="000113B9"/>
    <w:rsid w:val="00036530"/>
    <w:rsid w:val="00060602"/>
    <w:rsid w:val="00063595"/>
    <w:rsid w:val="000833B2"/>
    <w:rsid w:val="000B2207"/>
    <w:rsid w:val="000B3088"/>
    <w:rsid w:val="000E32FE"/>
    <w:rsid w:val="000E76DB"/>
    <w:rsid w:val="001021E3"/>
    <w:rsid w:val="0012178B"/>
    <w:rsid w:val="00132901"/>
    <w:rsid w:val="00135361"/>
    <w:rsid w:val="00136463"/>
    <w:rsid w:val="001859D5"/>
    <w:rsid w:val="00204414"/>
    <w:rsid w:val="00214161"/>
    <w:rsid w:val="00225C44"/>
    <w:rsid w:val="0025563F"/>
    <w:rsid w:val="0028265D"/>
    <w:rsid w:val="00293C69"/>
    <w:rsid w:val="00297EB5"/>
    <w:rsid w:val="00317750"/>
    <w:rsid w:val="003472D7"/>
    <w:rsid w:val="00347F78"/>
    <w:rsid w:val="003B2BA1"/>
    <w:rsid w:val="003C333E"/>
    <w:rsid w:val="003C42A0"/>
    <w:rsid w:val="003D78D1"/>
    <w:rsid w:val="003E232B"/>
    <w:rsid w:val="003F0C22"/>
    <w:rsid w:val="00400A13"/>
    <w:rsid w:val="00411D99"/>
    <w:rsid w:val="004251CC"/>
    <w:rsid w:val="004349BF"/>
    <w:rsid w:val="00435CCC"/>
    <w:rsid w:val="00482A3E"/>
    <w:rsid w:val="004A3E9A"/>
    <w:rsid w:val="004D7688"/>
    <w:rsid w:val="00555AF9"/>
    <w:rsid w:val="00572E13"/>
    <w:rsid w:val="005755A4"/>
    <w:rsid w:val="005815F1"/>
    <w:rsid w:val="0059659A"/>
    <w:rsid w:val="005C39C9"/>
    <w:rsid w:val="0061120C"/>
    <w:rsid w:val="006370AA"/>
    <w:rsid w:val="006701F6"/>
    <w:rsid w:val="00674C27"/>
    <w:rsid w:val="00680CD6"/>
    <w:rsid w:val="006A25D2"/>
    <w:rsid w:val="006A34E9"/>
    <w:rsid w:val="006B1D54"/>
    <w:rsid w:val="006C01C8"/>
    <w:rsid w:val="006C57AB"/>
    <w:rsid w:val="00701542"/>
    <w:rsid w:val="00737C5F"/>
    <w:rsid w:val="007455DB"/>
    <w:rsid w:val="008452EA"/>
    <w:rsid w:val="00866227"/>
    <w:rsid w:val="0089705D"/>
    <w:rsid w:val="008B0EE7"/>
    <w:rsid w:val="00913355"/>
    <w:rsid w:val="009916C3"/>
    <w:rsid w:val="009D46B8"/>
    <w:rsid w:val="009D49F5"/>
    <w:rsid w:val="009D672B"/>
    <w:rsid w:val="009E0348"/>
    <w:rsid w:val="00A01043"/>
    <w:rsid w:val="00A05A22"/>
    <w:rsid w:val="00A063A1"/>
    <w:rsid w:val="00A17917"/>
    <w:rsid w:val="00AD0B8D"/>
    <w:rsid w:val="00AD1931"/>
    <w:rsid w:val="00AE01E2"/>
    <w:rsid w:val="00B02542"/>
    <w:rsid w:val="00B130CA"/>
    <w:rsid w:val="00B945DB"/>
    <w:rsid w:val="00BB3B2A"/>
    <w:rsid w:val="00BB59D7"/>
    <w:rsid w:val="00BD43C6"/>
    <w:rsid w:val="00BF006B"/>
    <w:rsid w:val="00C62C0F"/>
    <w:rsid w:val="00C713C6"/>
    <w:rsid w:val="00CB5DC4"/>
    <w:rsid w:val="00CF02CC"/>
    <w:rsid w:val="00D05215"/>
    <w:rsid w:val="00D222B0"/>
    <w:rsid w:val="00D518B4"/>
    <w:rsid w:val="00D73C2B"/>
    <w:rsid w:val="00DA058C"/>
    <w:rsid w:val="00DC3C00"/>
    <w:rsid w:val="00DD3F69"/>
    <w:rsid w:val="00DE4EFC"/>
    <w:rsid w:val="00E00310"/>
    <w:rsid w:val="00E05229"/>
    <w:rsid w:val="00E11EAD"/>
    <w:rsid w:val="00E3322B"/>
    <w:rsid w:val="00E40461"/>
    <w:rsid w:val="00E57699"/>
    <w:rsid w:val="00E61406"/>
    <w:rsid w:val="00EB2FBD"/>
    <w:rsid w:val="00ED4AC4"/>
    <w:rsid w:val="00EE7A02"/>
    <w:rsid w:val="00F05D88"/>
    <w:rsid w:val="00F201CC"/>
    <w:rsid w:val="00F4795F"/>
    <w:rsid w:val="00F8257E"/>
    <w:rsid w:val="00F944AA"/>
    <w:rsid w:val="00FA5842"/>
    <w:rsid w:val="00FA62B9"/>
    <w:rsid w:val="00FB4C28"/>
    <w:rsid w:val="00FB7FBC"/>
    <w:rsid w:val="00FC6297"/>
    <w:rsid w:val="00FD0CF4"/>
    <w:rsid w:val="00FE42E8"/>
    <w:rsid w:val="00FE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DFE68"/>
  <w15:docId w15:val="{348774BD-3DCA-447B-BCC6-CCF69DCB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spacing w:before="280" w:after="280"/>
      <w:outlineLvl w:val="0"/>
    </w:pPr>
    <w:rPr>
      <w:rFonts w:ascii="Times New Roman" w:eastAsia="Times New Roman" w:hAnsi="Times New Roman" w:cs="Times New Roman"/>
      <w:b/>
      <w:bCs/>
      <w:kern w:val="3"/>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4"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rPr>
      <w:sz w:val="24"/>
      <w:szCs w:val="24"/>
    </w:rPr>
  </w:style>
  <w:style w:type="paragraph" w:styleId="Footer">
    <w:name w:val="footer"/>
    <w:basedOn w:val="Normal"/>
    <w:pPr>
      <w:tabs>
        <w:tab w:val="center" w:pos="4680"/>
        <w:tab w:val="right" w:pos="9360"/>
      </w:tabs>
    </w:pPr>
    <w:rPr>
      <w:sz w:val="24"/>
      <w:szCs w:val="24"/>
    </w:rPr>
  </w:style>
  <w:style w:type="paragraph" w:styleId="BalloonText">
    <w:name w:val="Balloon Text"/>
    <w:basedOn w:val="Normal"/>
    <w:rPr>
      <w:rFonts w:ascii="Times New Roman" w:eastAsia="Times New Roman" w:hAnsi="Times New Roman" w:cs="Times New Roman"/>
      <w:sz w:val="18"/>
      <w:szCs w:val="18"/>
    </w:rPr>
  </w:style>
  <w:style w:type="paragraph" w:styleId="ListParagraph">
    <w:name w:val="List Paragraph"/>
    <w:basedOn w:val="Normal"/>
    <w:pPr>
      <w:ind w:left="720"/>
    </w:pPr>
  </w:style>
  <w:style w:type="paragraph" w:styleId="CommentText">
    <w:name w:val="annotation text"/>
    <w:basedOn w:val="Normal"/>
    <w:link w:val="CommentTextChar1"/>
    <w:rPr>
      <w:sz w:val="20"/>
      <w:szCs w:val="20"/>
    </w:rPr>
  </w:style>
  <w:style w:type="paragraph" w:styleId="Revision">
    <w:name w:val="Revision"/>
    <w:pPr>
      <w:widowControl/>
      <w:suppressAutoHyphen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563C1"/>
      <w:u w:val="single"/>
    </w:rPr>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styleId="Strong">
    <w:name w:val="Strong"/>
    <w:basedOn w:val="DefaultParagraphFont"/>
    <w:rPr>
      <w:b/>
      <w:bC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styleId="FollowedHyperlink">
    <w:name w:val="FollowedHyperlink"/>
    <w:basedOn w:val="DefaultParagraphFont"/>
    <w:rPr>
      <w:color w:val="954F72"/>
      <w:u w:val="single"/>
    </w:rPr>
  </w:style>
  <w:style w:type="character" w:customStyle="1" w:styleId="ListLabel1">
    <w:name w:val="ListLabel 1"/>
    <w:rPr>
      <w:color w:val="0563C1"/>
      <w:sz w:val="23"/>
      <w:szCs w:val="23"/>
      <w:u w:val="single"/>
    </w:rPr>
  </w:style>
  <w:style w:type="character" w:customStyle="1" w:styleId="ListLabel2">
    <w:name w:val="ListLabel 2"/>
    <w:rPr>
      <w:sz w:val="23"/>
      <w:szCs w:val="23"/>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NoList1">
    <w:name w:val="No List_1"/>
    <w:basedOn w:val="NoList"/>
    <w:pPr>
      <w:numPr>
        <w:numId w:val="1"/>
      </w:numPr>
    </w:pPr>
  </w:style>
  <w:style w:type="character" w:customStyle="1" w:styleId="ui-provider">
    <w:name w:val="ui-provider"/>
    <w:basedOn w:val="DefaultParagraphFont"/>
    <w:rsid w:val="00D222B0"/>
  </w:style>
  <w:style w:type="paragraph" w:styleId="CommentSubject">
    <w:name w:val="annotation subject"/>
    <w:basedOn w:val="CommentText"/>
    <w:next w:val="CommentText"/>
    <w:link w:val="CommentSubjectChar"/>
    <w:uiPriority w:val="99"/>
    <w:semiHidden/>
    <w:unhideWhenUsed/>
    <w:rsid w:val="00EB2FBD"/>
    <w:rPr>
      <w:rFonts w:cs="Mangal"/>
      <w:b/>
      <w:bCs/>
      <w:szCs w:val="18"/>
    </w:rPr>
  </w:style>
  <w:style w:type="character" w:customStyle="1" w:styleId="CommentTextChar1">
    <w:name w:val="Comment Text Char1"/>
    <w:basedOn w:val="DefaultParagraphFont"/>
    <w:link w:val="CommentText"/>
    <w:rsid w:val="00EB2FBD"/>
    <w:rPr>
      <w:sz w:val="20"/>
      <w:szCs w:val="20"/>
    </w:rPr>
  </w:style>
  <w:style w:type="character" w:customStyle="1" w:styleId="CommentSubjectChar">
    <w:name w:val="Comment Subject Char"/>
    <w:basedOn w:val="CommentTextChar1"/>
    <w:link w:val="CommentSubject"/>
    <w:uiPriority w:val="99"/>
    <w:semiHidden/>
    <w:rsid w:val="00EB2FBD"/>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heath.combs@truliantfcu.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liant.org/Found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heath.combs@truliantfcu.org" TargetMode="External"/><Relationship Id="rId4" Type="http://schemas.openxmlformats.org/officeDocument/2006/relationships/settings" Target="settings.xml"/><Relationship Id="rId9" Type="http://schemas.openxmlformats.org/officeDocument/2006/relationships/hyperlink" Target="mailto:%20heath.combs@truliantfcu.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FCCE-6572-4CC1-9CCF-B824CAEE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2748</Characters>
  <Application>Microsoft Office Word</Application>
  <DocSecurity>0</DocSecurity>
  <Lines>57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Bilfelt</dc:creator>
  <cp:lastModifiedBy>Combs, Heath</cp:lastModifiedBy>
  <cp:revision>2</cp:revision>
  <dcterms:created xsi:type="dcterms:W3CDTF">2025-02-26T19:53:00Z</dcterms:created>
  <dcterms:modified xsi:type="dcterms:W3CDTF">2025-02-26T19:53:00Z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d7924207ab709a8da92a88beedd3423f8be2301c9a58cecafe805093a58517f9</vt:lpwstr>
  </property>
</Properties>
</file>