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2C67" w14:textId="77777777" w:rsidR="00F27C8A" w:rsidRPr="00F27C8A" w:rsidRDefault="00F27C8A" w:rsidP="00F27C8A">
      <w:pPr>
        <w:rPr>
          <w:b/>
          <w:bCs/>
        </w:rPr>
      </w:pPr>
      <w:r w:rsidRPr="00F27C8A">
        <w:rPr>
          <w:b/>
          <w:bCs/>
        </w:rPr>
        <w:t>Growth Equity Firm PSG invests US $280 Million in Protecht</w:t>
      </w:r>
    </w:p>
    <w:p w14:paraId="43589512" w14:textId="77777777" w:rsidR="00F27C8A" w:rsidRPr="00F27C8A" w:rsidRDefault="00F27C8A" w:rsidP="00F27C8A">
      <w:r w:rsidRPr="00F27C8A">
        <w:rPr>
          <w:b/>
          <w:bCs/>
          <w:i/>
          <w:iCs/>
        </w:rPr>
        <w:t>Fueling global expansion</w:t>
      </w:r>
    </w:p>
    <w:p w14:paraId="385BAAC2" w14:textId="3BE49A22" w:rsidR="00F27C8A" w:rsidRPr="00F27C8A" w:rsidRDefault="00F27C8A" w:rsidP="00F27C8A">
      <w:r w:rsidRPr="00F27C8A">
        <w:t>SYDNEY</w:t>
      </w:r>
      <w:r w:rsidRPr="00F27C8A">
        <w:t xml:space="preserve">, </w:t>
      </w:r>
      <w:r w:rsidRPr="00F27C8A">
        <w:t>Mar</w:t>
      </w:r>
      <w:r>
        <w:t>ch</w:t>
      </w:r>
      <w:r w:rsidRPr="00F27C8A">
        <w:t xml:space="preserve"> 24, 2025--(</w:t>
      </w:r>
      <w:hyperlink r:id="rId4" w:tgtFrame="_blank" w:history="1">
        <w:r w:rsidRPr="00F27C8A">
          <w:rPr>
            <w:rStyle w:val="Hyperlink"/>
          </w:rPr>
          <w:t>BUSINESS WIRE</w:t>
        </w:r>
      </w:hyperlink>
      <w:r w:rsidRPr="00F27C8A">
        <w:t>)--Protecht Group (“Protecht”), an Australian based leader in governance, risk, and compliance (GRC) solutions, today announces a US $280M investment from PSG Equity (“PSG”), a leading growth equity firm that speciali</w:t>
      </w:r>
      <w:r>
        <w:t>z</w:t>
      </w:r>
      <w:r w:rsidRPr="00F27C8A">
        <w:t>es in partnering with software and technology-enabled services companies to capitalize on transformational growth.</w:t>
      </w:r>
    </w:p>
    <w:p w14:paraId="2FB29870" w14:textId="4C763037" w:rsidR="00F27C8A" w:rsidRPr="00F27C8A" w:rsidRDefault="00F27C8A" w:rsidP="00F27C8A">
      <w:r w:rsidRPr="00F27C8A">
        <w:t>As regulatory scrutiny grows globally and operations become more complex, organi</w:t>
      </w:r>
      <w:r>
        <w:t>z</w:t>
      </w:r>
      <w:r w:rsidRPr="00F27C8A">
        <w:t>ations are under greater pressure to adapt. This strategic investment will empower Protecht to help deliver AI-driven risk management solutions, positioning Australian tech companies to be among those at the forefront of addressing global enterprises' needs.</w:t>
      </w:r>
    </w:p>
    <w:p w14:paraId="718ED0DC" w14:textId="77777777" w:rsidR="00F27C8A" w:rsidRPr="00F27C8A" w:rsidRDefault="00F27C8A" w:rsidP="00F27C8A">
      <w:r w:rsidRPr="00F27C8A">
        <w:rPr>
          <w:b/>
          <w:bCs/>
        </w:rPr>
        <w:t>David Bergmark, Co-Founder and CEO of Protecht</w:t>
      </w:r>
      <w:r w:rsidRPr="00F27C8A">
        <w:t> said, "This investment marks a significant milestone for Protecht. We are embarking on the next phase of our growth alongside the PSG team, whose operational expertise and resources will help us scale globally. Together, we share a vision to supercharge Protecht’s offering with AI, driving innovation and advancing the transformation of risk. With PSG's support, we are poised to enhance our offerings and provide great value to our clients, helping them navigate the complexities of today's regulatory landscape.”</w:t>
      </w:r>
    </w:p>
    <w:p w14:paraId="0EEF6F67" w14:textId="77777777" w:rsidR="00F27C8A" w:rsidRPr="00F27C8A" w:rsidRDefault="00F27C8A" w:rsidP="00F27C8A">
      <w:r w:rsidRPr="00F27C8A">
        <w:rPr>
          <w:b/>
          <w:bCs/>
        </w:rPr>
        <w:t>Adam Marcus, Managing Director at PSG </w:t>
      </w:r>
      <w:r w:rsidRPr="00F27C8A">
        <w:t>said, "The global risk management market is projected to reach nearly US $22 billion by 2029</w:t>
      </w:r>
      <w:r w:rsidRPr="00F27C8A">
        <w:rPr>
          <w:vertAlign w:val="superscript"/>
        </w:rPr>
        <w:t>1</w:t>
      </w:r>
      <w:r w:rsidRPr="00F27C8A">
        <w:t xml:space="preserve">, underscoring the immense need for innovative, and scalable solutions. In our view, Protecht, with its strong client retention, stands out as a leader in the GRC software space. We believe Protecht is positioned to </w:t>
      </w:r>
      <w:proofErr w:type="spellStart"/>
      <w:r w:rsidRPr="00F27C8A">
        <w:t>capitalise</w:t>
      </w:r>
      <w:proofErr w:type="spellEnd"/>
      <w:r w:rsidRPr="00F27C8A">
        <w:t xml:space="preserve"> on this growing market, and we are excited to partner with the team to help drive the next phase of their global expansion and innovation."</w:t>
      </w:r>
    </w:p>
    <w:p w14:paraId="1291700D" w14:textId="77777777" w:rsidR="00F27C8A" w:rsidRPr="00F27C8A" w:rsidRDefault="00F27C8A" w:rsidP="00F27C8A">
      <w:r w:rsidRPr="00F27C8A">
        <w:t>“With ~79% of global data under policy regulations</w:t>
      </w:r>
      <w:r w:rsidRPr="00F27C8A">
        <w:rPr>
          <w:vertAlign w:val="superscript"/>
        </w:rPr>
        <w:t>2</w:t>
      </w:r>
      <w:r w:rsidRPr="00F27C8A">
        <w:t>, and ~60% of companies needing but lacking effective third-party risk management,</w:t>
      </w:r>
      <w:r w:rsidRPr="00F27C8A">
        <w:rPr>
          <w:vertAlign w:val="superscript"/>
        </w:rPr>
        <w:t>3</w:t>
      </w:r>
      <w:r w:rsidRPr="00F27C8A">
        <w:t> Protecht empowers businesses to navigate these challenges and help make smarter, more resilient decisions,” </w:t>
      </w:r>
      <w:r w:rsidRPr="00F27C8A">
        <w:rPr>
          <w:b/>
          <w:bCs/>
        </w:rPr>
        <w:t>David Tattam, Co-Founder of Protecht</w:t>
      </w:r>
      <w:r w:rsidRPr="00F27C8A">
        <w:t> concluded.</w:t>
      </w:r>
    </w:p>
    <w:p w14:paraId="70846DF3" w14:textId="77777777" w:rsidR="00F27C8A" w:rsidRPr="00F27C8A" w:rsidRDefault="00F27C8A" w:rsidP="00F27C8A">
      <w:r w:rsidRPr="00F27C8A">
        <w:t>AGC Partners served as sole financial advisor to Protecht. JWS served as legal advisor to Protecht. Protecht was supported by Series A provider Arrowroot Capital. PSG was advised by legal counsels Baker &amp; McKenzie and Weil, Gotshal &amp; Manges.</w:t>
      </w:r>
    </w:p>
    <w:p w14:paraId="237AEB34" w14:textId="77777777" w:rsidR="00F27C8A" w:rsidRPr="00F27C8A" w:rsidRDefault="00F27C8A" w:rsidP="00F27C8A">
      <w:r w:rsidRPr="00F27C8A">
        <w:rPr>
          <w:b/>
          <w:bCs/>
        </w:rPr>
        <w:t>About Protecht Group</w:t>
      </w:r>
    </w:p>
    <w:p w14:paraId="3D9E0155" w14:textId="3E12282A" w:rsidR="00F27C8A" w:rsidRPr="00F27C8A" w:rsidRDefault="00F27C8A" w:rsidP="00F27C8A">
      <w:r w:rsidRPr="00F27C8A">
        <w:t>With offices in Sydney, Los Angeles, and London, Protecht Group provides innovative risk management solutions, including the Protecht ERM (enterprise risk management) platform. Trusted by organizations across government, financial services, education, and other industries, Protecht empowers businesses to manage risk holistically, transitioning from spreadsheets and manual processes to efficient, integrated systems.</w:t>
      </w:r>
      <w:r>
        <w:t xml:space="preserve"> Visit </w:t>
      </w:r>
      <w:hyperlink r:id="rId5" w:history="1">
        <w:r w:rsidRPr="00F27C8A">
          <w:rPr>
            <w:rStyle w:val="Hyperlink"/>
          </w:rPr>
          <w:t>protechtgroup.com</w:t>
        </w:r>
      </w:hyperlink>
      <w:r>
        <w:t>.</w:t>
      </w:r>
    </w:p>
    <w:p w14:paraId="71A5F2BE" w14:textId="77777777" w:rsidR="00F27C8A" w:rsidRPr="00F27C8A" w:rsidRDefault="00F27C8A" w:rsidP="00F27C8A">
      <w:r w:rsidRPr="00F27C8A">
        <w:rPr>
          <w:b/>
          <w:bCs/>
        </w:rPr>
        <w:t>About PSG</w:t>
      </w:r>
    </w:p>
    <w:p w14:paraId="065E4D33" w14:textId="77777777" w:rsidR="00F27C8A" w:rsidRPr="00F27C8A" w:rsidRDefault="00F27C8A" w:rsidP="00F27C8A">
      <w:r w:rsidRPr="00F27C8A">
        <w:lastRenderedPageBreak/>
        <w:t>PSG is a growth equity firm that partners with software and technology-enabled services companies to help them navigate transformational growth, capitalize on strategic opportunities, and build strong teams. Having backed more than 150 companies and facilitated over 520 add-on acquisitions, PSG brings extensive investment experience, deep expertise in software and technology, and a firm commitment to collaborating with management teams. Founded in 2014, PSG operates out of offices in Boston, Kansas City, London, Madrid, Paris, and Tel-Aviv. To learn more about PSG, visit </w:t>
      </w:r>
      <w:hyperlink r:id="rId6" w:tgtFrame="_blank" w:history="1">
        <w:r w:rsidRPr="00F27C8A">
          <w:rPr>
            <w:rStyle w:val="Hyperlink"/>
          </w:rPr>
          <w:t>www.psgequity.com</w:t>
        </w:r>
      </w:hyperlink>
      <w:r w:rsidRPr="00F27C8A">
        <w:t>.</w:t>
      </w:r>
    </w:p>
    <w:p w14:paraId="6AC45FD6" w14:textId="77777777" w:rsidR="00F27C8A" w:rsidRPr="00F27C8A" w:rsidRDefault="00F27C8A" w:rsidP="00F27C8A">
      <w:r w:rsidRPr="00F27C8A">
        <w:rPr>
          <w:vertAlign w:val="superscript"/>
        </w:rPr>
        <w:t>1</w:t>
      </w:r>
      <w:r w:rsidRPr="00F27C8A">
        <w:t> Source: The Business Research Company, </w:t>
      </w:r>
      <w:r w:rsidRPr="00F27C8A">
        <w:rPr>
          <w:i/>
          <w:iCs/>
        </w:rPr>
        <w:t>Risk Management Global Market Report</w:t>
      </w:r>
      <w:r w:rsidRPr="00F27C8A">
        <w:t> </w:t>
      </w:r>
      <w:hyperlink r:id="rId7" w:tgtFrame="_blank" w:history="1">
        <w:r w:rsidRPr="00F27C8A">
          <w:rPr>
            <w:rStyle w:val="Hyperlink"/>
          </w:rPr>
          <w:t>The Business Research Company - Risk Management Global Market Report</w:t>
        </w:r>
      </w:hyperlink>
      <w:r w:rsidRPr="00F27C8A">
        <w:t>"</w:t>
      </w:r>
      <w:r w:rsidRPr="00F27C8A">
        <w:br/>
      </w:r>
      <w:r w:rsidRPr="00F27C8A">
        <w:rPr>
          <w:vertAlign w:val="superscript"/>
        </w:rPr>
        <w:t>2</w:t>
      </w:r>
      <w:r w:rsidRPr="00F27C8A">
        <w:t> Source: International Association of Privacy Professionals (IAPP), "Identifying Global Privacy Laws Relevant to DPAs," </w:t>
      </w:r>
      <w:hyperlink r:id="rId8" w:tgtFrame="_blank" w:history="1">
        <w:r w:rsidRPr="00F27C8A">
          <w:rPr>
            <w:rStyle w:val="Hyperlink"/>
          </w:rPr>
          <w:t>IAPP</w:t>
        </w:r>
      </w:hyperlink>
      <w:r w:rsidRPr="00F27C8A">
        <w:t>.</w:t>
      </w:r>
      <w:r w:rsidRPr="00F27C8A">
        <w:br/>
      </w:r>
      <w:r w:rsidRPr="00F27C8A">
        <w:rPr>
          <w:vertAlign w:val="superscript"/>
        </w:rPr>
        <w:t>3</w:t>
      </w:r>
      <w:r w:rsidRPr="00F27C8A">
        <w:t> KPMG. (2023, January). </w:t>
      </w:r>
      <w:r w:rsidRPr="00F27C8A">
        <w:rPr>
          <w:i/>
          <w:iCs/>
        </w:rPr>
        <w:t>Third-party risk management: Boardroom questions</w:t>
      </w:r>
      <w:r w:rsidRPr="00F27C8A">
        <w:t>. KPMG Belgium. </w:t>
      </w:r>
      <w:hyperlink r:id="rId9" w:tgtFrame="_blank" w:history="1">
        <w:r w:rsidRPr="00F27C8A">
          <w:rPr>
            <w:rStyle w:val="Hyperlink"/>
          </w:rPr>
          <w:t>https://kpmg.com/be/en/home/insights/2023/01/blc-third-party-risk-management-boardroom-questions.html</w:t>
        </w:r>
      </w:hyperlink>
    </w:p>
    <w:p w14:paraId="3F6CC877" w14:textId="227AD343" w:rsidR="00AC040E" w:rsidRPr="00F27C8A" w:rsidRDefault="00AC040E" w:rsidP="00F27C8A"/>
    <w:sectPr w:rsidR="00AC040E" w:rsidRPr="00F2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BD"/>
    <w:rsid w:val="000575FD"/>
    <w:rsid w:val="001C65BD"/>
    <w:rsid w:val="006B0055"/>
    <w:rsid w:val="00AC040E"/>
    <w:rsid w:val="00F2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71BB"/>
  <w15:chartTrackingRefBased/>
  <w15:docId w15:val="{A12B1707-2210-4437-882B-36A90E1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5BD"/>
    <w:rPr>
      <w:rFonts w:eastAsiaTheme="majorEastAsia" w:cstheme="majorBidi"/>
      <w:color w:val="272727" w:themeColor="text1" w:themeTint="D8"/>
    </w:rPr>
  </w:style>
  <w:style w:type="paragraph" w:styleId="Title">
    <w:name w:val="Title"/>
    <w:basedOn w:val="Normal"/>
    <w:next w:val="Normal"/>
    <w:link w:val="TitleChar"/>
    <w:uiPriority w:val="10"/>
    <w:qFormat/>
    <w:rsid w:val="001C6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5BD"/>
    <w:pPr>
      <w:spacing w:before="160"/>
      <w:jc w:val="center"/>
    </w:pPr>
    <w:rPr>
      <w:i/>
      <w:iCs/>
      <w:color w:val="404040" w:themeColor="text1" w:themeTint="BF"/>
    </w:rPr>
  </w:style>
  <w:style w:type="character" w:customStyle="1" w:styleId="QuoteChar">
    <w:name w:val="Quote Char"/>
    <w:basedOn w:val="DefaultParagraphFont"/>
    <w:link w:val="Quote"/>
    <w:uiPriority w:val="29"/>
    <w:rsid w:val="001C65BD"/>
    <w:rPr>
      <w:i/>
      <w:iCs/>
      <w:color w:val="404040" w:themeColor="text1" w:themeTint="BF"/>
    </w:rPr>
  </w:style>
  <w:style w:type="paragraph" w:styleId="ListParagraph">
    <w:name w:val="List Paragraph"/>
    <w:basedOn w:val="Normal"/>
    <w:uiPriority w:val="34"/>
    <w:qFormat/>
    <w:rsid w:val="001C65BD"/>
    <w:pPr>
      <w:ind w:left="720"/>
      <w:contextualSpacing/>
    </w:pPr>
  </w:style>
  <w:style w:type="character" w:styleId="IntenseEmphasis">
    <w:name w:val="Intense Emphasis"/>
    <w:basedOn w:val="DefaultParagraphFont"/>
    <w:uiPriority w:val="21"/>
    <w:qFormat/>
    <w:rsid w:val="001C65BD"/>
    <w:rPr>
      <w:i/>
      <w:iCs/>
      <w:color w:val="0F4761" w:themeColor="accent1" w:themeShade="BF"/>
    </w:rPr>
  </w:style>
  <w:style w:type="paragraph" w:styleId="IntenseQuote">
    <w:name w:val="Intense Quote"/>
    <w:basedOn w:val="Normal"/>
    <w:next w:val="Normal"/>
    <w:link w:val="IntenseQuoteChar"/>
    <w:uiPriority w:val="30"/>
    <w:qFormat/>
    <w:rsid w:val="001C6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5BD"/>
    <w:rPr>
      <w:i/>
      <w:iCs/>
      <w:color w:val="0F4761" w:themeColor="accent1" w:themeShade="BF"/>
    </w:rPr>
  </w:style>
  <w:style w:type="character" w:styleId="IntenseReference">
    <w:name w:val="Intense Reference"/>
    <w:basedOn w:val="DefaultParagraphFont"/>
    <w:uiPriority w:val="32"/>
    <w:qFormat/>
    <w:rsid w:val="001C65BD"/>
    <w:rPr>
      <w:b/>
      <w:bCs/>
      <w:smallCaps/>
      <w:color w:val="0F4761" w:themeColor="accent1" w:themeShade="BF"/>
      <w:spacing w:val="5"/>
    </w:rPr>
  </w:style>
  <w:style w:type="character" w:styleId="Hyperlink">
    <w:name w:val="Hyperlink"/>
    <w:basedOn w:val="DefaultParagraphFont"/>
    <w:uiPriority w:val="99"/>
    <w:unhideWhenUsed/>
    <w:rsid w:val="00F27C8A"/>
    <w:rPr>
      <w:color w:val="467886" w:themeColor="hyperlink"/>
      <w:u w:val="single"/>
    </w:rPr>
  </w:style>
  <w:style w:type="character" w:styleId="UnresolvedMention">
    <w:name w:val="Unresolved Mention"/>
    <w:basedOn w:val="DefaultParagraphFont"/>
    <w:uiPriority w:val="99"/>
    <w:semiHidden/>
    <w:unhideWhenUsed/>
    <w:rsid w:val="00F2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6906">
      <w:bodyDiv w:val="1"/>
      <w:marLeft w:val="0"/>
      <w:marRight w:val="0"/>
      <w:marTop w:val="0"/>
      <w:marBottom w:val="0"/>
      <w:divBdr>
        <w:top w:val="none" w:sz="0" w:space="0" w:color="auto"/>
        <w:left w:val="none" w:sz="0" w:space="0" w:color="auto"/>
        <w:bottom w:val="none" w:sz="0" w:space="0" w:color="auto"/>
        <w:right w:val="none" w:sz="0" w:space="0" w:color="auto"/>
      </w:divBdr>
      <w:divsChild>
        <w:div w:id="1159266725">
          <w:marLeft w:val="0"/>
          <w:marRight w:val="0"/>
          <w:marTop w:val="0"/>
          <w:marBottom w:val="225"/>
          <w:divBdr>
            <w:top w:val="single" w:sz="2" w:space="0" w:color="E5E7EB"/>
            <w:left w:val="single" w:sz="2" w:space="0" w:color="E5E7EB"/>
            <w:bottom w:val="single" w:sz="2" w:space="0" w:color="E5E7EB"/>
            <w:right w:val="single" w:sz="2" w:space="0" w:color="E5E7EB"/>
          </w:divBdr>
        </w:div>
        <w:div w:id="479809054">
          <w:marLeft w:val="0"/>
          <w:marRight w:val="0"/>
          <w:marTop w:val="0"/>
          <w:marBottom w:val="0"/>
          <w:divBdr>
            <w:top w:val="single" w:sz="2" w:space="0" w:color="E5E7EB"/>
            <w:left w:val="single" w:sz="2" w:space="0" w:color="E5E7EB"/>
            <w:bottom w:val="single" w:sz="2" w:space="0" w:color="E5E7EB"/>
            <w:right w:val="single" w:sz="2" w:space="0" w:color="E5E7EB"/>
          </w:divBdr>
        </w:div>
        <w:div w:id="1344361595">
          <w:marLeft w:val="0"/>
          <w:marRight w:val="0"/>
          <w:marTop w:val="0"/>
          <w:marBottom w:val="0"/>
          <w:divBdr>
            <w:top w:val="single" w:sz="2" w:space="0" w:color="E5E7EB"/>
            <w:left w:val="single" w:sz="2" w:space="0" w:color="E5E7EB"/>
            <w:bottom w:val="single" w:sz="2" w:space="0" w:color="E5E7EB"/>
            <w:right w:val="single" w:sz="2" w:space="0" w:color="E5E7EB"/>
          </w:divBdr>
          <w:divsChild>
            <w:div w:id="63184977">
              <w:marLeft w:val="0"/>
              <w:marRight w:val="0"/>
              <w:marTop w:val="0"/>
              <w:marBottom w:val="0"/>
              <w:divBdr>
                <w:top w:val="single" w:sz="2" w:space="0" w:color="E5E7EB"/>
                <w:left w:val="single" w:sz="2" w:space="0" w:color="E5E7EB"/>
                <w:bottom w:val="single" w:sz="2" w:space="0" w:color="E5E7EB"/>
                <w:right w:val="single" w:sz="2" w:space="0" w:color="E5E7EB"/>
              </w:divBdr>
              <w:divsChild>
                <w:div w:id="2114740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9516498">
          <w:marLeft w:val="0"/>
          <w:marRight w:val="0"/>
          <w:marTop w:val="360"/>
          <w:marBottom w:val="0"/>
          <w:divBdr>
            <w:top w:val="single" w:sz="2" w:space="0" w:color="E5E7EB"/>
            <w:left w:val="single" w:sz="2" w:space="0" w:color="E5E7EB"/>
            <w:bottom w:val="single" w:sz="2" w:space="0" w:color="E5E7EB"/>
            <w:right w:val="single" w:sz="2" w:space="0" w:color="E5E7EB"/>
          </w:divBdr>
        </w:div>
        <w:div w:id="1340816155">
          <w:marLeft w:val="0"/>
          <w:marRight w:val="0"/>
          <w:marTop w:val="0"/>
          <w:marBottom w:val="0"/>
          <w:divBdr>
            <w:top w:val="single" w:sz="2" w:space="0" w:color="E5E7EB"/>
            <w:left w:val="single" w:sz="2" w:space="0" w:color="E5E7EB"/>
            <w:bottom w:val="single" w:sz="2" w:space="0" w:color="E5E7EB"/>
            <w:right w:val="single" w:sz="2" w:space="0" w:color="E5E7EB"/>
          </w:divBdr>
          <w:divsChild>
            <w:div w:id="1477378784">
              <w:marLeft w:val="0"/>
              <w:marRight w:val="0"/>
              <w:marTop w:val="0"/>
              <w:marBottom w:val="0"/>
              <w:divBdr>
                <w:top w:val="single" w:sz="2" w:space="0" w:color="E5E7EB"/>
                <w:left w:val="single" w:sz="2" w:space="0" w:color="E5E7EB"/>
                <w:bottom w:val="single" w:sz="2" w:space="0" w:color="E5E7EB"/>
                <w:right w:val="single" w:sz="2" w:space="0" w:color="E5E7EB"/>
              </w:divBdr>
              <w:divsChild>
                <w:div w:id="671252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770044">
      <w:bodyDiv w:val="1"/>
      <w:marLeft w:val="0"/>
      <w:marRight w:val="0"/>
      <w:marTop w:val="0"/>
      <w:marBottom w:val="0"/>
      <w:divBdr>
        <w:top w:val="none" w:sz="0" w:space="0" w:color="auto"/>
        <w:left w:val="none" w:sz="0" w:space="0" w:color="auto"/>
        <w:bottom w:val="none" w:sz="0" w:space="0" w:color="auto"/>
        <w:right w:val="none" w:sz="0" w:space="0" w:color="auto"/>
      </w:divBdr>
      <w:divsChild>
        <w:div w:id="797261293">
          <w:marLeft w:val="0"/>
          <w:marRight w:val="0"/>
          <w:marTop w:val="0"/>
          <w:marBottom w:val="225"/>
          <w:divBdr>
            <w:top w:val="single" w:sz="2" w:space="0" w:color="E5E7EB"/>
            <w:left w:val="single" w:sz="2" w:space="0" w:color="E5E7EB"/>
            <w:bottom w:val="single" w:sz="2" w:space="0" w:color="E5E7EB"/>
            <w:right w:val="single" w:sz="2" w:space="0" w:color="E5E7EB"/>
          </w:divBdr>
        </w:div>
        <w:div w:id="1293705873">
          <w:marLeft w:val="0"/>
          <w:marRight w:val="0"/>
          <w:marTop w:val="0"/>
          <w:marBottom w:val="0"/>
          <w:divBdr>
            <w:top w:val="single" w:sz="2" w:space="0" w:color="E5E7EB"/>
            <w:left w:val="single" w:sz="2" w:space="0" w:color="E5E7EB"/>
            <w:bottom w:val="single" w:sz="2" w:space="0" w:color="E5E7EB"/>
            <w:right w:val="single" w:sz="2" w:space="0" w:color="E5E7EB"/>
          </w:divBdr>
        </w:div>
        <w:div w:id="1548562361">
          <w:marLeft w:val="0"/>
          <w:marRight w:val="0"/>
          <w:marTop w:val="0"/>
          <w:marBottom w:val="0"/>
          <w:divBdr>
            <w:top w:val="single" w:sz="2" w:space="0" w:color="E5E7EB"/>
            <w:left w:val="single" w:sz="2" w:space="0" w:color="E5E7EB"/>
            <w:bottom w:val="single" w:sz="2" w:space="0" w:color="E5E7EB"/>
            <w:right w:val="single" w:sz="2" w:space="0" w:color="E5E7EB"/>
          </w:divBdr>
          <w:divsChild>
            <w:div w:id="69081669">
              <w:marLeft w:val="0"/>
              <w:marRight w:val="0"/>
              <w:marTop w:val="0"/>
              <w:marBottom w:val="0"/>
              <w:divBdr>
                <w:top w:val="single" w:sz="2" w:space="0" w:color="E5E7EB"/>
                <w:left w:val="single" w:sz="2" w:space="0" w:color="E5E7EB"/>
                <w:bottom w:val="single" w:sz="2" w:space="0" w:color="E5E7EB"/>
                <w:right w:val="single" w:sz="2" w:space="0" w:color="E5E7EB"/>
              </w:divBdr>
              <w:divsChild>
                <w:div w:id="1760905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197142">
          <w:marLeft w:val="0"/>
          <w:marRight w:val="0"/>
          <w:marTop w:val="360"/>
          <w:marBottom w:val="0"/>
          <w:divBdr>
            <w:top w:val="single" w:sz="2" w:space="0" w:color="E5E7EB"/>
            <w:left w:val="single" w:sz="2" w:space="0" w:color="E5E7EB"/>
            <w:bottom w:val="single" w:sz="2" w:space="0" w:color="E5E7EB"/>
            <w:right w:val="single" w:sz="2" w:space="0" w:color="E5E7EB"/>
          </w:divBdr>
        </w:div>
        <w:div w:id="818694256">
          <w:marLeft w:val="0"/>
          <w:marRight w:val="0"/>
          <w:marTop w:val="0"/>
          <w:marBottom w:val="0"/>
          <w:divBdr>
            <w:top w:val="single" w:sz="2" w:space="0" w:color="E5E7EB"/>
            <w:left w:val="single" w:sz="2" w:space="0" w:color="E5E7EB"/>
            <w:bottom w:val="single" w:sz="2" w:space="0" w:color="E5E7EB"/>
            <w:right w:val="single" w:sz="2" w:space="0" w:color="E5E7EB"/>
          </w:divBdr>
          <w:divsChild>
            <w:div w:id="1700011925">
              <w:marLeft w:val="0"/>
              <w:marRight w:val="0"/>
              <w:marTop w:val="0"/>
              <w:marBottom w:val="0"/>
              <w:divBdr>
                <w:top w:val="single" w:sz="2" w:space="0" w:color="E5E7EB"/>
                <w:left w:val="single" w:sz="2" w:space="0" w:color="E5E7EB"/>
                <w:bottom w:val="single" w:sz="2" w:space="0" w:color="E5E7EB"/>
                <w:right w:val="single" w:sz="2" w:space="0" w:color="E5E7EB"/>
              </w:divBdr>
              <w:divsChild>
                <w:div w:id="917012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1583742">
      <w:bodyDiv w:val="1"/>
      <w:marLeft w:val="0"/>
      <w:marRight w:val="0"/>
      <w:marTop w:val="0"/>
      <w:marBottom w:val="0"/>
      <w:divBdr>
        <w:top w:val="none" w:sz="0" w:space="0" w:color="auto"/>
        <w:left w:val="none" w:sz="0" w:space="0" w:color="auto"/>
        <w:bottom w:val="none" w:sz="0" w:space="0" w:color="auto"/>
        <w:right w:val="none" w:sz="0" w:space="0" w:color="auto"/>
      </w:divBdr>
    </w:div>
    <w:div w:id="12138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iapp.org%2Fnews%2Fa%2Fidentifying-global-privacy-laws-relevant-dpas%3Futm_source%3Dchatgpt.com&amp;esheet=54228097&amp;newsitemid=20250324484095&amp;lan=en-US&amp;anchor=IAPP&amp;index=3&amp;md5=2adb13e70e481a277da1954e5968188c" TargetMode="External"/><Relationship Id="rId3" Type="http://schemas.openxmlformats.org/officeDocument/2006/relationships/webSettings" Target="webSettings.xml"/><Relationship Id="rId7" Type="http://schemas.openxmlformats.org/officeDocument/2006/relationships/hyperlink" Target="https://cts.businesswire.com/ct/CT?id=smartlink&amp;url=https%3A%2F%2Fwww.thebusinessresearchcompany.com%2Freport%2Frisk-management-global-market-report%23%3A%7E%3Atext%3DIt%2520will%2520grow%2520to%2520%252421.62%2Cincreasing%2520health%2520and%2520safety%2520concerns.&amp;esheet=54228097&amp;newsitemid=20250324484095&amp;lan=en-US&amp;anchor=The+Business+Research+Company+-+Risk+Management+Global+Market+Report&amp;index=2&amp;md5=892df03d0a53c063ccbff65459e452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s.businesswire.com/ct/CT?id=smartlink&amp;url=http%3A%2F%2Fwww.psgequity.com&amp;esheet=54228097&amp;newsitemid=20250324484095&amp;lan=en-US&amp;anchor=www.psgequity.com&amp;index=1&amp;md5=100e1678873fab4c5b1a149d0a7cb333" TargetMode="External"/><Relationship Id="rId11" Type="http://schemas.openxmlformats.org/officeDocument/2006/relationships/theme" Target="theme/theme1.xml"/><Relationship Id="rId5" Type="http://schemas.openxmlformats.org/officeDocument/2006/relationships/hyperlink" Target="https://www.protechtgroup.com/en-us/" TargetMode="External"/><Relationship Id="rId10" Type="http://schemas.openxmlformats.org/officeDocument/2006/relationships/fontTable" Target="fontTable.xml"/><Relationship Id="rId4" Type="http://schemas.openxmlformats.org/officeDocument/2006/relationships/hyperlink" Target="https://www.businesswire.com/" TargetMode="External"/><Relationship Id="rId9" Type="http://schemas.openxmlformats.org/officeDocument/2006/relationships/hyperlink" Target="https://cts.businesswire.com/ct/CT?id=smartlink&amp;url=https%3A%2F%2Fkpmg.com%2Fbe%2Fen%2Fhome%2Finsights%2F2023%2F01%2Fblc-third-party-risk-management-boardroom-questions.html&amp;esheet=54228097&amp;newsitemid=20250324484095&amp;lan=en-US&amp;anchor=https%3A%2F%2Fkpmg.com%2Fbe%2Fen%2Fhome%2Finsights%2F2023%2F01%2Fblc-third-party-risk-management-boardroom-questions.html&amp;index=4&amp;md5=c4b33d7b9fe70d3e8138f1bfa5a7f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dc:creator>
  <cp:keywords/>
  <dc:description/>
  <cp:lastModifiedBy>Karen Haas</cp:lastModifiedBy>
  <cp:revision>1</cp:revision>
  <dcterms:created xsi:type="dcterms:W3CDTF">2025-03-24T21:47:00Z</dcterms:created>
  <dcterms:modified xsi:type="dcterms:W3CDTF">2025-03-25T15:10:00Z</dcterms:modified>
</cp:coreProperties>
</file>